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FC156" w14:textId="52721DBA" w:rsidR="008F3F8D" w:rsidRPr="00762E74" w:rsidRDefault="008F3F8D" w:rsidP="008F3F8D">
      <w:pPr>
        <w:pStyle w:val="Header"/>
        <w:tabs>
          <w:tab w:val="right" w:pos="9639"/>
        </w:tabs>
        <w:rPr>
          <w:noProof w:val="0"/>
          <w:sz w:val="24"/>
        </w:rPr>
      </w:pPr>
      <w:r w:rsidRPr="00762E74">
        <w:rPr>
          <w:noProof w:val="0"/>
          <w:sz w:val="24"/>
        </w:rPr>
        <w:t xml:space="preserve">3GPP TSG-RAN WG4 Meeting </w:t>
      </w:r>
      <w:r w:rsidR="003F3EE6">
        <w:rPr>
          <w:noProof w:val="0"/>
          <w:sz w:val="24"/>
        </w:rPr>
        <w:t>NR</w:t>
      </w:r>
      <w:r w:rsidR="00417B33">
        <w:rPr>
          <w:noProof w:val="0"/>
          <w:sz w:val="24"/>
        </w:rPr>
        <w:t xml:space="preserve"> ad-hoc </w:t>
      </w:r>
      <w:r w:rsidR="003F3EE6">
        <w:rPr>
          <w:noProof w:val="0"/>
          <w:sz w:val="24"/>
        </w:rPr>
        <w:t>#3</w:t>
      </w:r>
      <w:r w:rsidR="00762E74">
        <w:rPr>
          <w:noProof w:val="0"/>
          <w:sz w:val="24"/>
        </w:rPr>
        <w:tab/>
      </w:r>
      <w:r w:rsidR="00D476A6" w:rsidRPr="00762E74">
        <w:rPr>
          <w:noProof w:val="0"/>
          <w:sz w:val="24"/>
        </w:rPr>
        <w:t>R4-</w:t>
      </w:r>
      <w:r w:rsidR="00DB23EE">
        <w:rPr>
          <w:noProof w:val="0"/>
          <w:sz w:val="24"/>
        </w:rPr>
        <w:t>170</w:t>
      </w:r>
      <w:r w:rsidR="00417090">
        <w:rPr>
          <w:noProof w:val="0"/>
          <w:sz w:val="24"/>
        </w:rPr>
        <w:t>9710</w:t>
      </w:r>
    </w:p>
    <w:p w14:paraId="4AC8E95E" w14:textId="0FD11FD7" w:rsidR="008F3F8D" w:rsidRPr="00762E74" w:rsidRDefault="003F3EE6" w:rsidP="008F3F8D">
      <w:pPr>
        <w:pStyle w:val="Header"/>
        <w:tabs>
          <w:tab w:val="right" w:pos="9639"/>
        </w:tabs>
        <w:rPr>
          <w:noProof w:val="0"/>
          <w:sz w:val="24"/>
        </w:rPr>
      </w:pPr>
      <w:r>
        <w:rPr>
          <w:noProof w:val="0"/>
          <w:sz w:val="24"/>
        </w:rPr>
        <w:t>Nagoya, Japan</w:t>
      </w:r>
      <w:r w:rsidR="004874FB" w:rsidRPr="00762E74">
        <w:rPr>
          <w:noProof w:val="0"/>
          <w:sz w:val="24"/>
        </w:rPr>
        <w:t xml:space="preserve">, </w:t>
      </w:r>
      <w:r>
        <w:rPr>
          <w:noProof w:val="0"/>
          <w:sz w:val="24"/>
        </w:rPr>
        <w:t>18</w:t>
      </w:r>
      <w:r w:rsidR="008F3F8D" w:rsidRPr="00762E74">
        <w:rPr>
          <w:noProof w:val="0"/>
          <w:sz w:val="24"/>
        </w:rPr>
        <w:t xml:space="preserve"> </w:t>
      </w:r>
      <w:r w:rsidR="00C14D4B" w:rsidRPr="00762E74">
        <w:rPr>
          <w:noProof w:val="0"/>
          <w:sz w:val="24"/>
        </w:rPr>
        <w:t>–</w:t>
      </w:r>
      <w:r w:rsidR="008F3F8D" w:rsidRPr="00762E74">
        <w:rPr>
          <w:rFonts w:hint="eastAsia"/>
          <w:noProof w:val="0"/>
          <w:sz w:val="24"/>
        </w:rPr>
        <w:t xml:space="preserve"> </w:t>
      </w:r>
      <w:r>
        <w:rPr>
          <w:noProof w:val="0"/>
          <w:sz w:val="24"/>
        </w:rPr>
        <w:t>21</w:t>
      </w:r>
      <w:r w:rsidR="00C14D4B" w:rsidRPr="00762E74">
        <w:rPr>
          <w:noProof w:val="0"/>
          <w:sz w:val="24"/>
        </w:rPr>
        <w:t xml:space="preserve"> </w:t>
      </w:r>
      <w:r>
        <w:rPr>
          <w:noProof w:val="0"/>
          <w:sz w:val="24"/>
        </w:rPr>
        <w:t>September</w:t>
      </w:r>
      <w:r w:rsidR="008F3F8D" w:rsidRPr="00762E74">
        <w:rPr>
          <w:noProof w:val="0"/>
          <w:sz w:val="24"/>
        </w:rPr>
        <w:t>, 2017</w:t>
      </w:r>
    </w:p>
    <w:p w14:paraId="18AD8EEC" w14:textId="77777777" w:rsidR="00DA16AB" w:rsidRPr="00762E74" w:rsidRDefault="00DA16AB" w:rsidP="00A45FE2">
      <w:pPr>
        <w:pStyle w:val="Header"/>
        <w:tabs>
          <w:tab w:val="right" w:pos="9639"/>
        </w:tabs>
        <w:rPr>
          <w:noProof w:val="0"/>
          <w:sz w:val="24"/>
        </w:rPr>
      </w:pPr>
    </w:p>
    <w:p w14:paraId="1298CF61" w14:textId="6B159C26" w:rsidR="00D4064C" w:rsidRDefault="00D4064C" w:rsidP="00CD4C7B">
      <w:pPr>
        <w:pStyle w:val="CRCoverPage"/>
        <w:tabs>
          <w:tab w:val="left" w:pos="1985"/>
        </w:tabs>
        <w:rPr>
          <w:rFonts w:cs="Arial"/>
          <w:b/>
          <w:bCs/>
          <w:sz w:val="24"/>
        </w:rPr>
      </w:pPr>
    </w:p>
    <w:p w14:paraId="37143B3E" w14:textId="77777777" w:rsidR="00E4221B" w:rsidRPr="00762E74" w:rsidRDefault="00E4221B" w:rsidP="00CD4C7B">
      <w:pPr>
        <w:pStyle w:val="CRCoverPage"/>
        <w:tabs>
          <w:tab w:val="left" w:pos="1985"/>
        </w:tabs>
        <w:rPr>
          <w:rFonts w:cs="Arial"/>
          <w:b/>
          <w:bCs/>
          <w:sz w:val="24"/>
        </w:rPr>
      </w:pPr>
    </w:p>
    <w:p w14:paraId="0B586C1F" w14:textId="54E89B68" w:rsidR="00CD4C7B" w:rsidRPr="00867BC4" w:rsidRDefault="00CD4C7B" w:rsidP="00CD4C7B">
      <w:pPr>
        <w:pStyle w:val="CRCoverPage"/>
        <w:tabs>
          <w:tab w:val="left" w:pos="1985"/>
        </w:tabs>
        <w:rPr>
          <w:rFonts w:cs="Arial"/>
          <w:b/>
          <w:bCs/>
          <w:sz w:val="24"/>
          <w:lang w:eastAsia="ja-JP"/>
        </w:rPr>
      </w:pPr>
      <w:r w:rsidRPr="00762E74">
        <w:rPr>
          <w:rFonts w:cs="Arial"/>
          <w:b/>
          <w:bCs/>
          <w:sz w:val="24"/>
        </w:rPr>
        <w:t>Agenda item:</w:t>
      </w:r>
      <w:r w:rsidRPr="00762E74">
        <w:rPr>
          <w:rFonts w:cs="Arial"/>
          <w:b/>
          <w:bCs/>
          <w:sz w:val="24"/>
        </w:rPr>
        <w:tab/>
      </w:r>
      <w:r w:rsidR="00417B33">
        <w:rPr>
          <w:rFonts w:cs="Arial"/>
          <w:b/>
          <w:bCs/>
          <w:sz w:val="24"/>
        </w:rPr>
        <w:t>3.2.</w:t>
      </w:r>
      <w:r w:rsidR="00C96B5F">
        <w:rPr>
          <w:rFonts w:cs="Arial"/>
          <w:b/>
          <w:bCs/>
          <w:sz w:val="24"/>
        </w:rPr>
        <w:t>1.3</w:t>
      </w:r>
    </w:p>
    <w:p w14:paraId="5A38975C" w14:textId="77777777" w:rsidR="00CD4C7B" w:rsidRPr="00867BC4" w:rsidRDefault="00CD4C7B" w:rsidP="00A45FE2">
      <w:pPr>
        <w:tabs>
          <w:tab w:val="left" w:pos="1985"/>
        </w:tabs>
        <w:spacing w:after="120"/>
        <w:ind w:left="1985" w:hanging="1985"/>
        <w:rPr>
          <w:rFonts w:ascii="Arial" w:hAnsi="Arial" w:cs="Arial"/>
          <w:b/>
          <w:bCs/>
          <w:sz w:val="24"/>
          <w:lang w:val="en-US"/>
        </w:rPr>
      </w:pPr>
      <w:r w:rsidRPr="00867BC4">
        <w:rPr>
          <w:rFonts w:ascii="Arial" w:hAnsi="Arial" w:cs="Arial"/>
          <w:b/>
          <w:bCs/>
          <w:sz w:val="24"/>
        </w:rPr>
        <w:t>Source:</w:t>
      </w:r>
      <w:r w:rsidRPr="00867BC4">
        <w:rPr>
          <w:rFonts w:ascii="Arial" w:hAnsi="Arial" w:cs="Arial"/>
          <w:b/>
          <w:bCs/>
          <w:sz w:val="24"/>
        </w:rPr>
        <w:tab/>
      </w:r>
      <w:r w:rsidR="004874FB" w:rsidRPr="00867BC4">
        <w:rPr>
          <w:rFonts w:ascii="Arial" w:hAnsi="Arial" w:cs="Arial"/>
          <w:b/>
          <w:bCs/>
          <w:sz w:val="24"/>
        </w:rPr>
        <w:t>Dish Network</w:t>
      </w:r>
    </w:p>
    <w:p w14:paraId="15006642" w14:textId="271185FC" w:rsidR="00FD3D21" w:rsidRDefault="006A0B35" w:rsidP="006A0B35">
      <w:pPr>
        <w:spacing w:after="120"/>
        <w:ind w:left="1985" w:hanging="1985"/>
        <w:rPr>
          <w:rFonts w:ascii="Arial" w:hAnsi="Arial" w:cs="Arial"/>
          <w:b/>
          <w:bCs/>
          <w:sz w:val="24"/>
        </w:rPr>
      </w:pPr>
      <w:r w:rsidRPr="00867BC4">
        <w:rPr>
          <w:rFonts w:ascii="Arial" w:hAnsi="Arial" w:cs="Arial"/>
          <w:b/>
          <w:bCs/>
          <w:sz w:val="24"/>
        </w:rPr>
        <w:t>Title:</w:t>
      </w:r>
      <w:r w:rsidRPr="00867BC4">
        <w:rPr>
          <w:rFonts w:ascii="Arial" w:hAnsi="Arial" w:cs="Arial"/>
          <w:b/>
          <w:bCs/>
          <w:sz w:val="24"/>
        </w:rPr>
        <w:tab/>
      </w:r>
      <w:r w:rsidR="00FD3D21">
        <w:rPr>
          <w:rFonts w:ascii="Arial" w:hAnsi="Arial" w:cs="Arial"/>
          <w:b/>
          <w:bCs/>
          <w:sz w:val="24"/>
        </w:rPr>
        <w:t xml:space="preserve">UE CH BW Support </w:t>
      </w:r>
      <w:r w:rsidR="00D82380">
        <w:rPr>
          <w:rFonts w:ascii="Arial" w:hAnsi="Arial" w:cs="Arial"/>
          <w:b/>
          <w:bCs/>
          <w:sz w:val="24"/>
        </w:rPr>
        <w:t>for LTE Re-farming Bands</w:t>
      </w:r>
    </w:p>
    <w:p w14:paraId="2FB45871" w14:textId="62CACD55" w:rsidR="00CD4C7B" w:rsidRPr="00762E74" w:rsidRDefault="00CD4C7B" w:rsidP="00CD4C7B">
      <w:pPr>
        <w:tabs>
          <w:tab w:val="left" w:pos="1985"/>
        </w:tabs>
        <w:rPr>
          <w:rFonts w:ascii="Arial" w:hAnsi="Arial" w:cs="Arial"/>
          <w:b/>
          <w:bCs/>
          <w:sz w:val="24"/>
        </w:rPr>
      </w:pPr>
      <w:r w:rsidRPr="00762E74">
        <w:rPr>
          <w:rFonts w:ascii="Arial" w:hAnsi="Arial" w:cs="Arial"/>
          <w:b/>
          <w:bCs/>
          <w:sz w:val="24"/>
        </w:rPr>
        <w:t>Docum</w:t>
      </w:r>
      <w:r w:rsidR="006A0B35" w:rsidRPr="00762E74">
        <w:rPr>
          <w:rFonts w:ascii="Arial" w:hAnsi="Arial" w:cs="Arial"/>
          <w:b/>
          <w:bCs/>
          <w:sz w:val="24"/>
        </w:rPr>
        <w:t>ent for:</w:t>
      </w:r>
      <w:r w:rsidR="006A0B35" w:rsidRPr="00762E74">
        <w:rPr>
          <w:rFonts w:ascii="Arial" w:hAnsi="Arial" w:cs="Arial"/>
          <w:b/>
          <w:bCs/>
          <w:sz w:val="24"/>
        </w:rPr>
        <w:tab/>
      </w:r>
      <w:r w:rsidR="00361383">
        <w:rPr>
          <w:rFonts w:ascii="Arial" w:hAnsi="Arial" w:cs="Arial"/>
          <w:b/>
          <w:bCs/>
          <w:sz w:val="24"/>
        </w:rPr>
        <w:t>Agreement</w:t>
      </w:r>
    </w:p>
    <w:p w14:paraId="34B1C264" w14:textId="77777777" w:rsidR="00CD4C7B" w:rsidRPr="00762E74" w:rsidRDefault="00CD4C7B" w:rsidP="00CD4C7B">
      <w:pPr>
        <w:pStyle w:val="Heading1"/>
      </w:pPr>
      <w:r w:rsidRPr="00762E74">
        <w:t>1</w:t>
      </w:r>
      <w:r w:rsidRPr="00762E74">
        <w:tab/>
      </w:r>
      <w:r w:rsidR="0056573F" w:rsidRPr="00762E74">
        <w:t>Introduction</w:t>
      </w:r>
    </w:p>
    <w:p w14:paraId="4C332A68" w14:textId="37C1B3A9" w:rsidR="00975051" w:rsidRDefault="00975051" w:rsidP="00171463">
      <w:pPr>
        <w:spacing w:after="0"/>
        <w:rPr>
          <w:bCs/>
        </w:rPr>
      </w:pPr>
      <w:r>
        <w:rPr>
          <w:bCs/>
        </w:rPr>
        <w:t xml:space="preserve">Currently, RAN4 has made several agreements on way forwards, which relate to channel bandwidths. </w:t>
      </w:r>
    </w:p>
    <w:p w14:paraId="1D162194" w14:textId="7512F3AB" w:rsidR="00975051" w:rsidRDefault="00975051" w:rsidP="00171463">
      <w:pPr>
        <w:spacing w:after="0"/>
        <w:rPr>
          <w:bCs/>
        </w:rPr>
      </w:pPr>
    </w:p>
    <w:p w14:paraId="21590A1B" w14:textId="6A49F906" w:rsidR="00361383" w:rsidRDefault="00975051" w:rsidP="00171463">
      <w:pPr>
        <w:spacing w:after="0"/>
        <w:rPr>
          <w:bCs/>
        </w:rPr>
      </w:pPr>
      <w:r>
        <w:rPr>
          <w:bCs/>
        </w:rPr>
        <w:t xml:space="preserve">This contribution provides considerations on </w:t>
      </w:r>
      <w:r w:rsidR="00361383">
        <w:rPr>
          <w:bCs/>
        </w:rPr>
        <w:t xml:space="preserve">supported UE </w:t>
      </w:r>
      <w:r>
        <w:rPr>
          <w:bCs/>
        </w:rPr>
        <w:t>channel bandwidths</w:t>
      </w:r>
      <w:r w:rsidR="00FD3D21">
        <w:rPr>
          <w:bCs/>
        </w:rPr>
        <w:t xml:space="preserve"> in single CC configuration, </w:t>
      </w:r>
      <w:r w:rsidR="000320BB">
        <w:rPr>
          <w:bCs/>
        </w:rPr>
        <w:t>considering CC capability together with spectrum utilization</w:t>
      </w:r>
      <w:r w:rsidR="00361383">
        <w:rPr>
          <w:bCs/>
        </w:rPr>
        <w:t xml:space="preserve">, specifically from UE side, and provides a proposal for the CH BW </w:t>
      </w:r>
      <w:r w:rsidR="00D82380">
        <w:rPr>
          <w:bCs/>
        </w:rPr>
        <w:t xml:space="preserve">threshold </w:t>
      </w:r>
      <w:r w:rsidR="00361383">
        <w:rPr>
          <w:bCs/>
        </w:rPr>
        <w:t xml:space="preserve">that </w:t>
      </w:r>
      <w:r w:rsidR="00803CAC">
        <w:rPr>
          <w:bCs/>
        </w:rPr>
        <w:t xml:space="preserve">UE </w:t>
      </w:r>
      <w:r w:rsidR="00361383">
        <w:rPr>
          <w:bCs/>
        </w:rPr>
        <w:t xml:space="preserve">shall </w:t>
      </w:r>
      <w:r w:rsidR="00803CAC">
        <w:rPr>
          <w:bCs/>
        </w:rPr>
        <w:t xml:space="preserve">support in </w:t>
      </w:r>
      <w:r w:rsidR="00361383">
        <w:rPr>
          <w:bCs/>
        </w:rPr>
        <w:t>a single CC configuration.</w:t>
      </w:r>
    </w:p>
    <w:p w14:paraId="0CCFC786" w14:textId="77777777" w:rsidR="00361383" w:rsidRPr="00361383" w:rsidRDefault="00361383" w:rsidP="00361383">
      <w:pPr>
        <w:rPr>
          <w:bCs/>
          <w:lang w:val="en-US"/>
        </w:rPr>
      </w:pPr>
    </w:p>
    <w:p w14:paraId="2A3A641C" w14:textId="77777777" w:rsidR="00CD4C7B" w:rsidRPr="00762E74" w:rsidRDefault="00C608C8" w:rsidP="00CD4C7B">
      <w:pPr>
        <w:pStyle w:val="Heading1"/>
      </w:pPr>
      <w:r w:rsidRPr="00762E74">
        <w:t>2</w:t>
      </w:r>
      <w:r w:rsidRPr="00762E74">
        <w:tab/>
        <w:t>Discussion</w:t>
      </w:r>
    </w:p>
    <w:p w14:paraId="57694DF2" w14:textId="44C26420" w:rsidR="00D82380" w:rsidRPr="00D82380" w:rsidRDefault="00D82380" w:rsidP="00D82380">
      <w:pPr>
        <w:rPr>
          <w:bCs/>
          <w:lang w:val="en-US"/>
        </w:rPr>
      </w:pPr>
      <w:r>
        <w:rPr>
          <w:bCs/>
        </w:rPr>
        <w:t xml:space="preserve">The discussion goes through </w:t>
      </w:r>
    </w:p>
    <w:p w14:paraId="3770F3DD" w14:textId="30B2F8CA" w:rsidR="00803CAC" w:rsidRPr="00D82380" w:rsidRDefault="00803CAC" w:rsidP="00D82380">
      <w:pPr>
        <w:pStyle w:val="ListParagraph"/>
        <w:numPr>
          <w:ilvl w:val="0"/>
          <w:numId w:val="44"/>
        </w:numPr>
        <w:rPr>
          <w:bCs/>
          <w:sz w:val="20"/>
          <w:lang w:val="en-US"/>
        </w:rPr>
      </w:pPr>
      <w:r w:rsidRPr="00D82380">
        <w:rPr>
          <w:bCs/>
          <w:sz w:val="20"/>
          <w:lang w:val="en-US"/>
        </w:rPr>
        <w:t>Supported Channel Bandwidth</w:t>
      </w:r>
      <w:r w:rsidR="00FD3D21" w:rsidRPr="00D82380">
        <w:rPr>
          <w:bCs/>
          <w:sz w:val="20"/>
          <w:lang w:val="en-US"/>
        </w:rPr>
        <w:t>s</w:t>
      </w:r>
    </w:p>
    <w:p w14:paraId="68B10EFE" w14:textId="017B63CD" w:rsidR="00803CAC" w:rsidRPr="00D82380" w:rsidRDefault="00803CAC" w:rsidP="00D82380">
      <w:pPr>
        <w:pStyle w:val="ListParagraph"/>
        <w:numPr>
          <w:ilvl w:val="0"/>
          <w:numId w:val="44"/>
        </w:numPr>
        <w:rPr>
          <w:bCs/>
          <w:sz w:val="20"/>
          <w:lang w:val="en-US"/>
        </w:rPr>
      </w:pPr>
      <w:r w:rsidRPr="00D82380">
        <w:rPr>
          <w:bCs/>
          <w:sz w:val="20"/>
          <w:lang w:val="en-US"/>
        </w:rPr>
        <w:t>CC based Spectrum Utilization</w:t>
      </w:r>
    </w:p>
    <w:p w14:paraId="75B06F3C" w14:textId="06D7830B" w:rsidR="00803CAC" w:rsidRPr="00D82380" w:rsidRDefault="00FD3D21" w:rsidP="00D82380">
      <w:pPr>
        <w:pStyle w:val="ListParagraph"/>
        <w:numPr>
          <w:ilvl w:val="0"/>
          <w:numId w:val="44"/>
        </w:numPr>
        <w:rPr>
          <w:bCs/>
          <w:sz w:val="20"/>
          <w:lang w:val="en-US"/>
        </w:rPr>
      </w:pPr>
      <w:r w:rsidRPr="00D82380">
        <w:rPr>
          <w:bCs/>
          <w:sz w:val="20"/>
          <w:lang w:val="en-US"/>
        </w:rPr>
        <w:t>UE Capability to Support different CH BWs</w:t>
      </w:r>
    </w:p>
    <w:p w14:paraId="203C39DA" w14:textId="77777777" w:rsidR="00803CAC" w:rsidRDefault="00803CAC" w:rsidP="005A42D8">
      <w:pPr>
        <w:rPr>
          <w:bCs/>
          <w:lang w:val="en-US"/>
        </w:rPr>
      </w:pPr>
    </w:p>
    <w:p w14:paraId="4B5303DC" w14:textId="3622AD5A" w:rsidR="005A42D8" w:rsidRPr="005A42D8" w:rsidRDefault="005A42D8" w:rsidP="005A42D8">
      <w:pPr>
        <w:pStyle w:val="Heading2"/>
      </w:pPr>
      <w:r w:rsidRPr="005A42D8">
        <w:t>Supported Channel Bandwidths</w:t>
      </w:r>
      <w:r w:rsidR="00C34B7D">
        <w:t>:</w:t>
      </w:r>
    </w:p>
    <w:p w14:paraId="0A780D33" w14:textId="3D491A5F" w:rsidR="005A42D8" w:rsidRDefault="005A42D8" w:rsidP="005A42D8">
      <w:pPr>
        <w:rPr>
          <w:bCs/>
          <w:lang w:val="en-US"/>
        </w:rPr>
      </w:pPr>
      <w:r>
        <w:rPr>
          <w:bCs/>
        </w:rPr>
        <w:t xml:space="preserve">Until RAN4 NR AH#3, </w:t>
      </w:r>
      <w:r>
        <w:rPr>
          <w:bCs/>
          <w:lang w:val="en-US"/>
        </w:rPr>
        <w:t>RAN4 has made the following agreements on UE supporting CH BWs</w:t>
      </w:r>
      <w:r w:rsidR="00361383">
        <w:rPr>
          <w:bCs/>
          <w:lang w:val="en-US"/>
        </w:rPr>
        <w:t xml:space="preserve"> for each NR band</w:t>
      </w:r>
      <w:r>
        <w:rPr>
          <w:bCs/>
          <w:lang w:val="en-US"/>
        </w:rPr>
        <w:t>.</w:t>
      </w:r>
    </w:p>
    <w:p w14:paraId="221DD54E" w14:textId="37FD4D71" w:rsidR="005A42D8" w:rsidRPr="005A42D8" w:rsidRDefault="005A42D8" w:rsidP="00803CAC">
      <w:pPr>
        <w:pStyle w:val="ListParagraph"/>
        <w:numPr>
          <w:ilvl w:val="0"/>
          <w:numId w:val="44"/>
        </w:numPr>
        <w:rPr>
          <w:bCs/>
          <w:sz w:val="20"/>
          <w:lang w:val="en-US"/>
        </w:rPr>
      </w:pPr>
      <w:r w:rsidRPr="005A42D8">
        <w:rPr>
          <w:bCs/>
          <w:sz w:val="20"/>
          <w:lang w:val="en-US"/>
        </w:rPr>
        <w:t>Mandatory channel bandwidths for the UE, shown in Figure 2-1 and Figure 2-2 [2]</w:t>
      </w:r>
    </w:p>
    <w:p w14:paraId="57213A6F" w14:textId="7D4E4697" w:rsidR="005A42D8" w:rsidRPr="005A42D8" w:rsidRDefault="005A42D8" w:rsidP="005A42D8">
      <w:pPr>
        <w:pStyle w:val="ListParagraph"/>
        <w:numPr>
          <w:ilvl w:val="0"/>
          <w:numId w:val="44"/>
        </w:numPr>
        <w:rPr>
          <w:bCs/>
          <w:sz w:val="20"/>
          <w:lang w:val="en-US"/>
        </w:rPr>
      </w:pPr>
      <w:r w:rsidRPr="005A42D8">
        <w:rPr>
          <w:bCs/>
          <w:sz w:val="20"/>
          <w:lang w:val="en-US"/>
        </w:rPr>
        <w:t xml:space="preserve">Additionally, RAN4 agreed: Specify 40MHz for 15kHz SCS and 30kHz SCS, and 60MHz for 30kHz and 60kHz SCS. [1] </w:t>
      </w:r>
    </w:p>
    <w:p w14:paraId="3EF71893" w14:textId="77777777" w:rsidR="005A42D8" w:rsidRPr="005A42D8" w:rsidRDefault="005A42D8" w:rsidP="005A42D8">
      <w:pPr>
        <w:pStyle w:val="ListParagraph"/>
        <w:rPr>
          <w:bCs/>
          <w:sz w:val="20"/>
          <w:lang w:val="en-US"/>
        </w:rPr>
      </w:pPr>
    </w:p>
    <w:p w14:paraId="580F7B86" w14:textId="3723DC13" w:rsidR="005A42D8" w:rsidRPr="005A42D8" w:rsidRDefault="005A42D8" w:rsidP="005A42D8">
      <w:pPr>
        <w:ind w:left="-810"/>
        <w:rPr>
          <w:bCs/>
          <w:lang w:val="en-US"/>
        </w:rPr>
      </w:pPr>
      <w:r>
        <w:rPr>
          <w:bCs/>
          <w:noProof/>
          <w:lang w:val="en-US"/>
        </w:rPr>
        <w:drawing>
          <wp:inline distT="0" distB="0" distL="0" distR="0" wp14:anchorId="1D98CB11" wp14:editId="0F8DF51A">
            <wp:extent cx="7192773" cy="2434660"/>
            <wp:effectExtent l="0" t="0" r="825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30817" cy="2447537"/>
                    </a:xfrm>
                    <a:prstGeom prst="rect">
                      <a:avLst/>
                    </a:prstGeom>
                    <a:noFill/>
                  </pic:spPr>
                </pic:pic>
              </a:graphicData>
            </a:graphic>
          </wp:inline>
        </w:drawing>
      </w:r>
    </w:p>
    <w:p w14:paraId="0ACF04C6" w14:textId="56433EF6" w:rsidR="005A42D8" w:rsidRPr="005A42D8" w:rsidRDefault="005A42D8" w:rsidP="005A42D8">
      <w:pPr>
        <w:pStyle w:val="ListParagraph"/>
        <w:jc w:val="center"/>
        <w:rPr>
          <w:bCs/>
          <w:sz w:val="16"/>
          <w:lang w:val="en-US"/>
        </w:rPr>
      </w:pPr>
      <w:r w:rsidRPr="005A42D8">
        <w:rPr>
          <w:b/>
          <w:bCs/>
          <w:sz w:val="20"/>
          <w:lang w:val="en-US"/>
        </w:rPr>
        <w:t>Figure 2-1: UE Mandatory channel bandwidths 1/2</w:t>
      </w:r>
    </w:p>
    <w:p w14:paraId="48079BF3" w14:textId="77777777" w:rsidR="005A42D8" w:rsidRDefault="005A42D8" w:rsidP="005A42D8">
      <w:pPr>
        <w:ind w:left="360"/>
        <w:rPr>
          <w:szCs w:val="22"/>
          <w:lang w:val="en-US"/>
        </w:rPr>
      </w:pPr>
    </w:p>
    <w:p w14:paraId="1A6E6EFB" w14:textId="347A9E1B" w:rsidR="005A42D8" w:rsidRDefault="005A42D8" w:rsidP="005A42D8">
      <w:pPr>
        <w:ind w:left="-810"/>
        <w:rPr>
          <w:szCs w:val="22"/>
          <w:lang w:val="en-US"/>
        </w:rPr>
      </w:pPr>
      <w:r>
        <w:rPr>
          <w:noProof/>
          <w:szCs w:val="22"/>
          <w:lang w:val="en-US"/>
        </w:rPr>
        <w:lastRenderedPageBreak/>
        <w:drawing>
          <wp:inline distT="0" distB="0" distL="0" distR="0" wp14:anchorId="2389C197" wp14:editId="6775DE44">
            <wp:extent cx="7180771" cy="873074"/>
            <wp:effectExtent l="0" t="0" r="127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22531" cy="878151"/>
                    </a:xfrm>
                    <a:prstGeom prst="rect">
                      <a:avLst/>
                    </a:prstGeom>
                    <a:noFill/>
                  </pic:spPr>
                </pic:pic>
              </a:graphicData>
            </a:graphic>
          </wp:inline>
        </w:drawing>
      </w:r>
    </w:p>
    <w:p w14:paraId="24860C12" w14:textId="16CACE05" w:rsidR="005A42D8" w:rsidRPr="005A42D8" w:rsidRDefault="005A42D8" w:rsidP="005A42D8">
      <w:pPr>
        <w:spacing w:after="0"/>
        <w:jc w:val="center"/>
        <w:rPr>
          <w:b/>
          <w:bCs/>
        </w:rPr>
      </w:pPr>
      <w:r w:rsidRPr="005A42D8">
        <w:rPr>
          <w:b/>
          <w:bCs/>
        </w:rPr>
        <w:t>Figure 2-2: UE Mandatory channel bandwidths 2/2</w:t>
      </w:r>
    </w:p>
    <w:p w14:paraId="75C51365" w14:textId="3D20BF97" w:rsidR="005A42D8" w:rsidRDefault="005A42D8" w:rsidP="005A42D8">
      <w:pPr>
        <w:pStyle w:val="ListParagraph"/>
        <w:rPr>
          <w:bCs/>
          <w:lang w:val="en-US"/>
        </w:rPr>
      </w:pPr>
    </w:p>
    <w:p w14:paraId="427A0480" w14:textId="77777777" w:rsidR="005A42D8" w:rsidRPr="005A42D8" w:rsidRDefault="005A42D8" w:rsidP="005A42D8">
      <w:pPr>
        <w:rPr>
          <w:b/>
        </w:rPr>
      </w:pPr>
      <w:r w:rsidRPr="005A42D8">
        <w:rPr>
          <w:b/>
        </w:rPr>
        <w:t>Observation 1: The agreement to specify 40MHz for 15kHz SCS and 30kHz SCS, and 60MHz for 30kHz and 60kHz SCS is reflected only in 3.3-4.2 GHz and 4.4-4.99 GHz range at the moment.</w:t>
      </w:r>
    </w:p>
    <w:p w14:paraId="2C62D381" w14:textId="4A967A07" w:rsidR="005A42D8" w:rsidRPr="00361383" w:rsidRDefault="005A42D8" w:rsidP="00361383">
      <w:pPr>
        <w:rPr>
          <w:bCs/>
        </w:rPr>
      </w:pPr>
    </w:p>
    <w:p w14:paraId="4087543F" w14:textId="2D701DA2" w:rsidR="002432E9" w:rsidRPr="005A42D8" w:rsidRDefault="00803CAC" w:rsidP="002432E9">
      <w:pPr>
        <w:pStyle w:val="Heading2"/>
      </w:pPr>
      <w:r>
        <w:t xml:space="preserve">CC Based </w:t>
      </w:r>
      <w:r w:rsidR="002432E9">
        <w:t>Spectrum Utilization</w:t>
      </w:r>
      <w:r w:rsidR="00C34B7D">
        <w:t>:</w:t>
      </w:r>
      <w:r w:rsidR="002432E9">
        <w:t xml:space="preserve"> </w:t>
      </w:r>
    </w:p>
    <w:p w14:paraId="7986C680" w14:textId="79D676D4" w:rsidR="005A42D8" w:rsidRPr="002432E9" w:rsidRDefault="001F643B" w:rsidP="002432E9">
      <w:pPr>
        <w:rPr>
          <w:bCs/>
          <w:lang w:val="en-US"/>
        </w:rPr>
      </w:pPr>
      <w:r>
        <w:rPr>
          <w:bCs/>
          <w:lang w:val="en-US"/>
        </w:rPr>
        <w:t xml:space="preserve">For </w:t>
      </w:r>
      <w:r w:rsidR="00803CAC">
        <w:rPr>
          <w:bCs/>
          <w:lang w:val="en-US"/>
        </w:rPr>
        <w:t xml:space="preserve">CC based </w:t>
      </w:r>
      <w:r w:rsidR="002432E9">
        <w:rPr>
          <w:bCs/>
          <w:lang w:val="en-US"/>
        </w:rPr>
        <w:t xml:space="preserve">spectrum utilization </w:t>
      </w:r>
      <w:r>
        <w:rPr>
          <w:bCs/>
          <w:lang w:val="en-US"/>
        </w:rPr>
        <w:t xml:space="preserve">the following numbers have </w:t>
      </w:r>
      <w:r w:rsidR="002432E9">
        <w:rPr>
          <w:bCs/>
          <w:lang w:val="en-US"/>
        </w:rPr>
        <w:t xml:space="preserve">been agreed, in Figure 2-3. These values are conditional </w:t>
      </w:r>
      <w:r w:rsidR="00803CAC">
        <w:rPr>
          <w:bCs/>
          <w:lang w:val="en-US"/>
        </w:rPr>
        <w:t xml:space="preserve">to </w:t>
      </w:r>
      <w:r w:rsidR="002432E9">
        <w:rPr>
          <w:bCs/>
          <w:lang w:val="en-US"/>
        </w:rPr>
        <w:t xml:space="preserve">certain assumptions, defined in the same WF. [5] </w:t>
      </w:r>
    </w:p>
    <w:p w14:paraId="68C29952" w14:textId="77E93E8F" w:rsidR="002432E9" w:rsidRPr="005A42D8" w:rsidRDefault="002432E9" w:rsidP="002432E9">
      <w:pPr>
        <w:pStyle w:val="ListParagraph"/>
        <w:ind w:left="-810"/>
        <w:rPr>
          <w:bCs/>
          <w:lang w:val="en-US"/>
        </w:rPr>
      </w:pPr>
      <w:r>
        <w:rPr>
          <w:bCs/>
          <w:noProof/>
          <w:lang w:val="en-US"/>
        </w:rPr>
        <w:drawing>
          <wp:inline distT="0" distB="0" distL="0" distR="0" wp14:anchorId="530A7633" wp14:editId="236E875A">
            <wp:extent cx="7170766" cy="14300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1899" cy="1442206"/>
                    </a:xfrm>
                    <a:prstGeom prst="rect">
                      <a:avLst/>
                    </a:prstGeom>
                    <a:noFill/>
                  </pic:spPr>
                </pic:pic>
              </a:graphicData>
            </a:graphic>
          </wp:inline>
        </w:drawing>
      </w:r>
    </w:p>
    <w:p w14:paraId="7F31CA3A" w14:textId="78881C1B" w:rsidR="002432E9" w:rsidRDefault="002432E9" w:rsidP="002432E9">
      <w:pPr>
        <w:jc w:val="center"/>
        <w:rPr>
          <w:bCs/>
          <w:lang w:val="en-US"/>
        </w:rPr>
      </w:pPr>
      <w:r w:rsidRPr="005A42D8">
        <w:rPr>
          <w:b/>
          <w:bCs/>
        </w:rPr>
        <w:t>Figure 2-</w:t>
      </w:r>
      <w:r>
        <w:rPr>
          <w:b/>
          <w:bCs/>
        </w:rPr>
        <w:t>3</w:t>
      </w:r>
      <w:r w:rsidRPr="005A42D8">
        <w:rPr>
          <w:b/>
          <w:bCs/>
        </w:rPr>
        <w:t xml:space="preserve">: </w:t>
      </w:r>
      <w:r w:rsidRPr="002432E9">
        <w:rPr>
          <w:b/>
          <w:bCs/>
        </w:rPr>
        <w:t>Sub-6GHz spectrum utilization</w:t>
      </w:r>
    </w:p>
    <w:p w14:paraId="5BBB6F80" w14:textId="2469519B" w:rsidR="002432E9" w:rsidRDefault="002432E9" w:rsidP="002432E9">
      <w:pPr>
        <w:rPr>
          <w:bCs/>
          <w:lang w:val="en-US"/>
        </w:rPr>
      </w:pPr>
      <w:r>
        <w:rPr>
          <w:bCs/>
          <w:lang w:val="en-US"/>
        </w:rPr>
        <w:t>Irrespective of these assumptions, that may impact on the selected values, the numbers are comparable to spectrum utilization for single CC vs. CA operation</w:t>
      </w:r>
      <w:r w:rsidR="00AF0C36">
        <w:rPr>
          <w:bCs/>
          <w:lang w:val="en-US"/>
        </w:rPr>
        <w:t xml:space="preserve"> in NR</w:t>
      </w:r>
      <w:r>
        <w:rPr>
          <w:bCs/>
          <w:lang w:val="en-US"/>
        </w:rPr>
        <w:t>. The following table, in Figure 2-4, compares the</w:t>
      </w:r>
      <w:r w:rsidR="001F643B">
        <w:rPr>
          <w:bCs/>
          <w:lang w:val="en-US"/>
        </w:rPr>
        <w:t>se</w:t>
      </w:r>
      <w:r>
        <w:rPr>
          <w:bCs/>
          <w:lang w:val="en-US"/>
        </w:rPr>
        <w:t xml:space="preserve"> spectrum utilization </w:t>
      </w:r>
      <w:r w:rsidR="001F643B">
        <w:rPr>
          <w:bCs/>
          <w:lang w:val="en-US"/>
        </w:rPr>
        <w:t xml:space="preserve">numbers </w:t>
      </w:r>
      <w:r>
        <w:rPr>
          <w:bCs/>
          <w:lang w:val="en-US"/>
        </w:rPr>
        <w:t>for some common CH BWs</w:t>
      </w:r>
      <w:r w:rsidR="001F643B">
        <w:rPr>
          <w:bCs/>
          <w:lang w:val="en-US"/>
        </w:rPr>
        <w:t xml:space="preserve"> combinations in aggregated mode by CC based utilization.</w:t>
      </w:r>
      <w:r>
        <w:rPr>
          <w:bCs/>
          <w:lang w:val="en-US"/>
        </w:rPr>
        <w:t xml:space="preserve"> </w:t>
      </w:r>
    </w:p>
    <w:p w14:paraId="0302A137" w14:textId="6D1D60FC" w:rsidR="002432E9" w:rsidRPr="002432E9" w:rsidRDefault="004A1806" w:rsidP="004A1806">
      <w:pPr>
        <w:ind w:left="-900"/>
        <w:jc w:val="center"/>
        <w:rPr>
          <w:b/>
          <w:bCs/>
        </w:rPr>
      </w:pPr>
      <w:r>
        <w:rPr>
          <w:bCs/>
          <w:noProof/>
          <w:lang w:val="en-US"/>
        </w:rPr>
        <w:drawing>
          <wp:inline distT="0" distB="0" distL="0" distR="0" wp14:anchorId="63C6D3AC" wp14:editId="63FE4F1D">
            <wp:extent cx="7236101" cy="2513274"/>
            <wp:effectExtent l="0" t="0" r="317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245463" cy="2516526"/>
                    </a:xfrm>
                    <a:prstGeom prst="rect">
                      <a:avLst/>
                    </a:prstGeom>
                    <a:noFill/>
                  </pic:spPr>
                </pic:pic>
              </a:graphicData>
            </a:graphic>
          </wp:inline>
        </w:drawing>
      </w:r>
      <w:r w:rsidR="002432E9" w:rsidRPr="005A42D8">
        <w:rPr>
          <w:b/>
          <w:bCs/>
        </w:rPr>
        <w:t>Figure 2-</w:t>
      </w:r>
      <w:r w:rsidR="002432E9">
        <w:rPr>
          <w:b/>
          <w:bCs/>
        </w:rPr>
        <w:t>4</w:t>
      </w:r>
      <w:r w:rsidR="002432E9" w:rsidRPr="005A42D8">
        <w:rPr>
          <w:b/>
          <w:bCs/>
        </w:rPr>
        <w:t xml:space="preserve">: </w:t>
      </w:r>
      <w:r w:rsidR="001F643B">
        <w:rPr>
          <w:b/>
          <w:bCs/>
        </w:rPr>
        <w:t xml:space="preserve">CC based </w:t>
      </w:r>
      <w:r w:rsidR="002432E9" w:rsidRPr="002432E9">
        <w:rPr>
          <w:b/>
          <w:bCs/>
        </w:rPr>
        <w:t>spectrum utilization</w:t>
      </w:r>
      <w:r w:rsidR="002432E9">
        <w:rPr>
          <w:b/>
          <w:bCs/>
        </w:rPr>
        <w:t xml:space="preserve"> </w:t>
      </w:r>
      <w:r w:rsidR="00AF0C36">
        <w:rPr>
          <w:b/>
          <w:bCs/>
        </w:rPr>
        <w:t xml:space="preserve">of Singe </w:t>
      </w:r>
      <w:r w:rsidR="002432E9">
        <w:rPr>
          <w:b/>
          <w:bCs/>
        </w:rPr>
        <w:t xml:space="preserve">CC vs </w:t>
      </w:r>
      <w:r w:rsidR="00AF0C36">
        <w:rPr>
          <w:b/>
          <w:bCs/>
        </w:rPr>
        <w:t>Aggregated CCs</w:t>
      </w:r>
    </w:p>
    <w:p w14:paraId="634CFD66" w14:textId="7AFC6875" w:rsidR="002432E9" w:rsidRDefault="001F643B" w:rsidP="001F643B">
      <w:pPr>
        <w:rPr>
          <w:bCs/>
        </w:rPr>
      </w:pPr>
      <w:r>
        <w:rPr>
          <w:bCs/>
        </w:rPr>
        <w:t>Looking at the values highlighted in different colours, each representing one channel bandwi</w:t>
      </w:r>
      <w:r w:rsidR="00B1753C">
        <w:rPr>
          <w:bCs/>
        </w:rPr>
        <w:t>d</w:t>
      </w:r>
      <w:r>
        <w:rPr>
          <w:bCs/>
        </w:rPr>
        <w:t>th, the following can be seen when comparing the SU to 1CC:</w:t>
      </w:r>
    </w:p>
    <w:p w14:paraId="20E517CD" w14:textId="77777777" w:rsidR="001F643B" w:rsidRPr="00B1753C" w:rsidRDefault="001F643B" w:rsidP="001F643B">
      <w:pPr>
        <w:pStyle w:val="ListParagraph"/>
        <w:numPr>
          <w:ilvl w:val="0"/>
          <w:numId w:val="44"/>
        </w:numPr>
        <w:rPr>
          <w:bCs/>
          <w:sz w:val="20"/>
          <w:lang w:val="en-US"/>
        </w:rPr>
      </w:pPr>
      <w:r w:rsidRPr="00B1753C">
        <w:rPr>
          <w:bCs/>
          <w:sz w:val="20"/>
          <w:lang w:val="en-US"/>
        </w:rPr>
        <w:t>For 15 kHz SCS</w:t>
      </w:r>
    </w:p>
    <w:p w14:paraId="09DF9F32" w14:textId="7B29758F" w:rsidR="001F643B" w:rsidRPr="00B1753C" w:rsidRDefault="001F643B" w:rsidP="00B1753C">
      <w:pPr>
        <w:pStyle w:val="ListParagraph"/>
        <w:numPr>
          <w:ilvl w:val="1"/>
          <w:numId w:val="44"/>
        </w:numPr>
        <w:rPr>
          <w:bCs/>
          <w:sz w:val="20"/>
          <w:lang w:val="en-US"/>
        </w:rPr>
      </w:pPr>
      <w:r w:rsidRPr="00B1753C">
        <w:rPr>
          <w:bCs/>
          <w:sz w:val="20"/>
          <w:lang w:val="en-US"/>
        </w:rPr>
        <w:t>SU drops ~1.5% when using 2 CCs, and another 1% with 3CCs</w:t>
      </w:r>
    </w:p>
    <w:p w14:paraId="0DDB3A95" w14:textId="58EA4800" w:rsidR="001F643B" w:rsidRPr="00B1753C" w:rsidRDefault="001F643B" w:rsidP="001F643B">
      <w:pPr>
        <w:pStyle w:val="ListParagraph"/>
        <w:numPr>
          <w:ilvl w:val="0"/>
          <w:numId w:val="44"/>
        </w:numPr>
        <w:rPr>
          <w:bCs/>
          <w:sz w:val="20"/>
          <w:lang w:val="en-US"/>
        </w:rPr>
      </w:pPr>
      <w:r w:rsidRPr="00B1753C">
        <w:rPr>
          <w:bCs/>
          <w:sz w:val="20"/>
          <w:lang w:val="en-US"/>
        </w:rPr>
        <w:t>For 30 kHz SCS</w:t>
      </w:r>
    </w:p>
    <w:p w14:paraId="2ED90DAE" w14:textId="5B61895A" w:rsidR="001F643B" w:rsidRPr="00B1753C" w:rsidRDefault="001F643B" w:rsidP="00B1753C">
      <w:pPr>
        <w:pStyle w:val="ListParagraph"/>
        <w:numPr>
          <w:ilvl w:val="1"/>
          <w:numId w:val="44"/>
        </w:numPr>
        <w:rPr>
          <w:bCs/>
          <w:sz w:val="20"/>
          <w:lang w:val="en-US"/>
        </w:rPr>
      </w:pPr>
      <w:r w:rsidRPr="00B1753C">
        <w:rPr>
          <w:bCs/>
          <w:sz w:val="20"/>
          <w:lang w:val="en-US"/>
        </w:rPr>
        <w:t>SU drops 5.4 % in 20 MHz decreasing to 2.2% drop in 50 MHz when using 2 CCs, but drops again &gt; 5% when 3</w:t>
      </w:r>
      <w:r w:rsidR="00FE7540" w:rsidRPr="00B1753C">
        <w:rPr>
          <w:bCs/>
          <w:sz w:val="20"/>
          <w:lang w:val="en-US"/>
        </w:rPr>
        <w:t xml:space="preserve"> </w:t>
      </w:r>
      <w:r w:rsidRPr="00B1753C">
        <w:rPr>
          <w:bCs/>
          <w:sz w:val="20"/>
          <w:lang w:val="en-US"/>
        </w:rPr>
        <w:t>CCs are used</w:t>
      </w:r>
    </w:p>
    <w:p w14:paraId="25446204" w14:textId="54B349E6" w:rsidR="001F643B" w:rsidRPr="00B1753C" w:rsidRDefault="001F643B" w:rsidP="001F643B">
      <w:pPr>
        <w:pStyle w:val="ListParagraph"/>
        <w:numPr>
          <w:ilvl w:val="0"/>
          <w:numId w:val="44"/>
        </w:numPr>
        <w:rPr>
          <w:bCs/>
          <w:sz w:val="20"/>
          <w:lang w:val="en-US"/>
        </w:rPr>
      </w:pPr>
      <w:r w:rsidRPr="00B1753C">
        <w:rPr>
          <w:bCs/>
          <w:sz w:val="20"/>
          <w:lang w:val="en-US"/>
        </w:rPr>
        <w:t>For 60 kHz SCS</w:t>
      </w:r>
    </w:p>
    <w:p w14:paraId="56CAA90D" w14:textId="47DF39A8" w:rsidR="001F643B" w:rsidRPr="00B1753C" w:rsidRDefault="001F643B" w:rsidP="00B1753C">
      <w:pPr>
        <w:pStyle w:val="ListParagraph"/>
        <w:numPr>
          <w:ilvl w:val="1"/>
          <w:numId w:val="44"/>
        </w:numPr>
        <w:rPr>
          <w:bCs/>
          <w:sz w:val="20"/>
          <w:lang w:val="en-US"/>
        </w:rPr>
      </w:pPr>
      <w:r w:rsidRPr="00B1753C">
        <w:rPr>
          <w:bCs/>
          <w:sz w:val="20"/>
          <w:lang w:val="en-US"/>
        </w:rPr>
        <w:lastRenderedPageBreak/>
        <w:t>SU is already low</w:t>
      </w:r>
      <w:r w:rsidR="00FE7540" w:rsidRPr="00B1753C">
        <w:rPr>
          <w:bCs/>
          <w:sz w:val="20"/>
          <w:lang w:val="en-US"/>
        </w:rPr>
        <w:t>,</w:t>
      </w:r>
      <w:r w:rsidRPr="00B1753C">
        <w:rPr>
          <w:bCs/>
          <w:sz w:val="20"/>
          <w:lang w:val="en-US"/>
        </w:rPr>
        <w:t xml:space="preserve"> +- 3% of 90%, but drops below 90% in all cases and even below 80% in 20MHz with aggregated CCs</w:t>
      </w:r>
    </w:p>
    <w:p w14:paraId="43A32EF4" w14:textId="4D3F826F" w:rsidR="001F643B" w:rsidRPr="00CB60D2" w:rsidRDefault="001F643B" w:rsidP="00B1753C">
      <w:pPr>
        <w:spacing w:before="120"/>
        <w:rPr>
          <w:bCs/>
          <w:lang w:val="en-US"/>
        </w:rPr>
      </w:pPr>
      <w:r>
        <w:rPr>
          <w:bCs/>
          <w:lang w:val="en-US"/>
        </w:rPr>
        <w:t xml:space="preserve">The above SU comparison is </w:t>
      </w:r>
      <w:r w:rsidR="00CB60D2">
        <w:rPr>
          <w:bCs/>
          <w:lang w:val="en-US"/>
        </w:rPr>
        <w:t>c</w:t>
      </w:r>
      <w:r w:rsidR="00CB60D2" w:rsidRPr="00CB60D2">
        <w:rPr>
          <w:bCs/>
          <w:lang w:val="en-US"/>
        </w:rPr>
        <w:t xml:space="preserve">alculated over </w:t>
      </w:r>
      <w:r w:rsidRPr="00CB60D2">
        <w:rPr>
          <w:bCs/>
          <w:lang w:val="en-US"/>
        </w:rPr>
        <w:t xml:space="preserve">the </w:t>
      </w:r>
      <w:r w:rsidR="00CB60D2" w:rsidRPr="00CB60D2">
        <w:rPr>
          <w:bCs/>
          <w:lang w:val="en-US"/>
        </w:rPr>
        <w:t xml:space="preserve">entire </w:t>
      </w:r>
      <w:r w:rsidRPr="00CB60D2">
        <w:rPr>
          <w:bCs/>
          <w:lang w:val="en-US"/>
        </w:rPr>
        <w:t xml:space="preserve">CH BW. </w:t>
      </w:r>
      <w:r w:rsidR="00CB60D2" w:rsidRPr="00CB60D2">
        <w:rPr>
          <w:bCs/>
          <w:lang w:val="en-US"/>
        </w:rPr>
        <w:t>The percentage the SU drops in aggregated combinations compared to the corresponding single CC, is naturally higher</w:t>
      </w:r>
      <w:r w:rsidRPr="00CB60D2">
        <w:rPr>
          <w:bCs/>
          <w:lang w:val="en-US"/>
        </w:rPr>
        <w:t>.</w:t>
      </w:r>
    </w:p>
    <w:p w14:paraId="7DE1704C" w14:textId="2A382ABA" w:rsidR="00274706" w:rsidRDefault="00274706" w:rsidP="00B1753C">
      <w:pPr>
        <w:spacing w:before="120"/>
        <w:rPr>
          <w:bCs/>
          <w:lang w:val="en-US"/>
        </w:rPr>
      </w:pPr>
      <w:r w:rsidRPr="00CB60D2">
        <w:rPr>
          <w:bCs/>
          <w:lang w:val="en-US"/>
        </w:rPr>
        <w:t>Further, in Spectrum Utilizatio</w:t>
      </w:r>
      <w:r>
        <w:rPr>
          <w:bCs/>
          <w:lang w:val="en-US"/>
        </w:rPr>
        <w:t>n for wideband operation [4], it was agreed to look at the following options from UE point of view:</w:t>
      </w:r>
    </w:p>
    <w:p w14:paraId="34351A48" w14:textId="77777777" w:rsidR="00274706" w:rsidRPr="000320BB" w:rsidRDefault="00274706" w:rsidP="00274706">
      <w:pPr>
        <w:pStyle w:val="ListParagraph"/>
        <w:numPr>
          <w:ilvl w:val="0"/>
          <w:numId w:val="44"/>
        </w:numPr>
        <w:rPr>
          <w:bCs/>
          <w:sz w:val="20"/>
          <w:lang w:val="en-US"/>
        </w:rPr>
      </w:pPr>
      <w:r w:rsidRPr="000320BB">
        <w:rPr>
          <w:bCs/>
          <w:sz w:val="20"/>
          <w:lang w:val="en-US"/>
        </w:rPr>
        <w:t>From UE point of view, there may be two options for further study to define spectrum utilization for  aggregated wideband operation</w:t>
      </w:r>
      <w:r>
        <w:rPr>
          <w:bCs/>
          <w:sz w:val="20"/>
          <w:lang w:val="en-US"/>
        </w:rPr>
        <w:t xml:space="preserve"> [4]</w:t>
      </w:r>
    </w:p>
    <w:p w14:paraId="743E0F19" w14:textId="77777777" w:rsidR="00274706" w:rsidRPr="000320BB" w:rsidRDefault="00274706" w:rsidP="00274706">
      <w:pPr>
        <w:pStyle w:val="ListParagraph"/>
        <w:numPr>
          <w:ilvl w:val="1"/>
          <w:numId w:val="44"/>
        </w:numPr>
        <w:rPr>
          <w:bCs/>
          <w:sz w:val="20"/>
          <w:lang w:val="en-US"/>
        </w:rPr>
      </w:pPr>
      <w:r w:rsidRPr="000320BB">
        <w:rPr>
          <w:bCs/>
          <w:sz w:val="20"/>
          <w:lang w:val="en-US"/>
        </w:rPr>
        <w:t>Option 1: based on aggregated channel bandwidth</w:t>
      </w:r>
    </w:p>
    <w:p w14:paraId="5CC05F47" w14:textId="77777777" w:rsidR="00274706" w:rsidRPr="00274706" w:rsidRDefault="00274706" w:rsidP="00276B09">
      <w:pPr>
        <w:pStyle w:val="ListParagraph"/>
        <w:numPr>
          <w:ilvl w:val="1"/>
          <w:numId w:val="44"/>
        </w:numPr>
        <w:spacing w:before="120"/>
        <w:rPr>
          <w:bCs/>
          <w:lang w:val="en-US"/>
        </w:rPr>
      </w:pPr>
      <w:r w:rsidRPr="00274706">
        <w:rPr>
          <w:bCs/>
          <w:sz w:val="20"/>
          <w:lang w:val="en-US"/>
        </w:rPr>
        <w:t>Option 2: base on per single component carrier</w:t>
      </w:r>
    </w:p>
    <w:p w14:paraId="6F413903" w14:textId="47CBED8C" w:rsidR="00274706" w:rsidRPr="00274706" w:rsidRDefault="00274706" w:rsidP="00276B09">
      <w:pPr>
        <w:pStyle w:val="ListParagraph"/>
        <w:numPr>
          <w:ilvl w:val="1"/>
          <w:numId w:val="44"/>
        </w:numPr>
        <w:spacing w:before="120"/>
        <w:rPr>
          <w:bCs/>
          <w:lang w:val="en-US"/>
        </w:rPr>
      </w:pPr>
      <w:r w:rsidRPr="00274706">
        <w:rPr>
          <w:bCs/>
          <w:sz w:val="20"/>
          <w:lang w:val="en-US"/>
        </w:rPr>
        <w:t>Option 3: based on the total carrier BW</w:t>
      </w:r>
    </w:p>
    <w:p w14:paraId="7564F4BD" w14:textId="77777777" w:rsidR="00274706" w:rsidRPr="00274706" w:rsidRDefault="00274706" w:rsidP="00274706">
      <w:pPr>
        <w:pStyle w:val="ListParagraph"/>
        <w:spacing w:before="120"/>
        <w:ind w:left="1440"/>
        <w:rPr>
          <w:bCs/>
          <w:lang w:val="en-US"/>
        </w:rPr>
      </w:pPr>
    </w:p>
    <w:p w14:paraId="047B784B" w14:textId="3D0DF18B" w:rsidR="001F643B" w:rsidRDefault="001F643B" w:rsidP="001F643B">
      <w:pPr>
        <w:rPr>
          <w:b/>
        </w:rPr>
      </w:pPr>
      <w:r w:rsidRPr="005A42D8">
        <w:rPr>
          <w:b/>
        </w:rPr>
        <w:t xml:space="preserve">Observation </w:t>
      </w:r>
      <w:r>
        <w:rPr>
          <w:b/>
        </w:rPr>
        <w:t>2</w:t>
      </w:r>
      <w:r w:rsidRPr="005A42D8">
        <w:rPr>
          <w:b/>
        </w:rPr>
        <w:t xml:space="preserve">: </w:t>
      </w:r>
      <w:r w:rsidR="00640460">
        <w:rPr>
          <w:b/>
        </w:rPr>
        <w:t>From UE point of view, i</w:t>
      </w:r>
      <w:r>
        <w:rPr>
          <w:b/>
        </w:rPr>
        <w:t xml:space="preserve">f CC based SU is used with aggregated channel bandwidths up to 50 MHz, compared to single CC the utilization drops in </w:t>
      </w:r>
      <w:r w:rsidR="00FE7540">
        <w:rPr>
          <w:b/>
        </w:rPr>
        <w:t>a level</w:t>
      </w:r>
      <w:r>
        <w:rPr>
          <w:b/>
        </w:rPr>
        <w:t xml:space="preserve"> of 2% in 15 kHz SCS, but has a significant drop in 30 kHz and 60 kHz SCS. </w:t>
      </w:r>
    </w:p>
    <w:p w14:paraId="0BF6F917" w14:textId="7806D657" w:rsidR="003C424A" w:rsidRDefault="003C424A" w:rsidP="003C424A">
      <w:pPr>
        <w:rPr>
          <w:b/>
        </w:rPr>
      </w:pPr>
      <w:r w:rsidRPr="005A42D8">
        <w:rPr>
          <w:b/>
        </w:rPr>
        <w:t xml:space="preserve">Observation </w:t>
      </w:r>
      <w:r>
        <w:rPr>
          <w:b/>
        </w:rPr>
        <w:t>3</w:t>
      </w:r>
      <w:r w:rsidRPr="005A42D8">
        <w:rPr>
          <w:b/>
        </w:rPr>
        <w:t xml:space="preserve">: </w:t>
      </w:r>
      <w:r>
        <w:rPr>
          <w:b/>
        </w:rPr>
        <w:t xml:space="preserve">From system point of view, the wideband SU needs to be the same regardless of how the UE definition is decided. </w:t>
      </w:r>
    </w:p>
    <w:p w14:paraId="5AF83723" w14:textId="77777777" w:rsidR="00274706" w:rsidRDefault="00274706" w:rsidP="001F643B">
      <w:pPr>
        <w:rPr>
          <w:b/>
        </w:rPr>
      </w:pPr>
    </w:p>
    <w:p w14:paraId="5C9A57DB" w14:textId="3A569651" w:rsidR="008B76A7" w:rsidRDefault="00803CAC" w:rsidP="008B76A7">
      <w:pPr>
        <w:pStyle w:val="Heading2"/>
        <w:rPr>
          <w:bCs/>
          <w:lang w:val="en-US"/>
        </w:rPr>
      </w:pPr>
      <w:r>
        <w:t>UE Capability to support different CH BWs</w:t>
      </w:r>
      <w:r w:rsidR="00C34B7D">
        <w:t>:</w:t>
      </w:r>
    </w:p>
    <w:p w14:paraId="265EF536" w14:textId="2E1B5FC3" w:rsidR="00803CAC" w:rsidRDefault="00803CAC" w:rsidP="008B76A7">
      <w:pPr>
        <w:rPr>
          <w:bCs/>
          <w:lang w:val="en-US"/>
        </w:rPr>
      </w:pPr>
      <w:r>
        <w:rPr>
          <w:bCs/>
          <w:lang w:val="en-US"/>
        </w:rPr>
        <w:t>It has been agreed that</w:t>
      </w:r>
      <w:r w:rsidR="008B76A7">
        <w:rPr>
          <w:bCs/>
          <w:lang w:val="en-US"/>
        </w:rPr>
        <w:t xml:space="preserve"> U</w:t>
      </w:r>
      <w:r w:rsidRPr="00361383">
        <w:rPr>
          <w:bCs/>
          <w:lang w:val="en-US"/>
        </w:rPr>
        <w:t>E maximum channel bandwidth is a UE capability</w:t>
      </w:r>
      <w:r>
        <w:rPr>
          <w:bCs/>
          <w:lang w:val="en-US"/>
        </w:rPr>
        <w:t xml:space="preserve"> [2]</w:t>
      </w:r>
      <w:r w:rsidR="008B76A7">
        <w:rPr>
          <w:bCs/>
          <w:lang w:val="en-US"/>
        </w:rPr>
        <w:t xml:space="preserve"> and </w:t>
      </w:r>
      <w:r w:rsidR="00FD3D21">
        <w:rPr>
          <w:bCs/>
          <w:lang w:val="en-US"/>
        </w:rPr>
        <w:t>that it</w:t>
      </w:r>
      <w:r w:rsidR="008B76A7">
        <w:rPr>
          <w:bCs/>
          <w:lang w:val="en-US"/>
        </w:rPr>
        <w:t xml:space="preserve"> can be different in UL and DL [3]. </w:t>
      </w:r>
      <w:r w:rsidR="00FD3D21">
        <w:rPr>
          <w:bCs/>
          <w:lang w:val="en-US"/>
        </w:rPr>
        <w:t xml:space="preserve">What remains open is what channel bandwidths shall be supported </w:t>
      </w:r>
      <w:r w:rsidR="00274706">
        <w:rPr>
          <w:bCs/>
          <w:lang w:val="en-US"/>
        </w:rPr>
        <w:t>in each band and how. In the mandatory channel bandwidth discussion, the following was agreed:</w:t>
      </w:r>
    </w:p>
    <w:p w14:paraId="48A2E96E" w14:textId="77777777" w:rsidR="00FD3D21" w:rsidRPr="00361383" w:rsidRDefault="00FD3D21" w:rsidP="00FD3D21">
      <w:pPr>
        <w:pStyle w:val="ListParagraph"/>
        <w:numPr>
          <w:ilvl w:val="0"/>
          <w:numId w:val="44"/>
        </w:numPr>
        <w:rPr>
          <w:bCs/>
          <w:sz w:val="20"/>
          <w:lang w:val="en-US"/>
        </w:rPr>
      </w:pPr>
      <w:r w:rsidRPr="00361383">
        <w:rPr>
          <w:bCs/>
          <w:sz w:val="20"/>
          <w:lang w:val="en-US"/>
        </w:rPr>
        <w:t>RAN4 should agree some threshold value for which BW’s should be suppo</w:t>
      </w:r>
      <w:r>
        <w:rPr>
          <w:bCs/>
          <w:sz w:val="20"/>
          <w:lang w:val="en-US"/>
        </w:rPr>
        <w:t>rted by single CC configuration [2]</w:t>
      </w:r>
    </w:p>
    <w:p w14:paraId="237AFB23" w14:textId="4DDA77A1" w:rsidR="00FD3D21" w:rsidRPr="000320BB" w:rsidRDefault="00FD3D21" w:rsidP="00274706">
      <w:pPr>
        <w:pStyle w:val="ListParagraph"/>
        <w:ind w:left="1440"/>
        <w:rPr>
          <w:bCs/>
          <w:sz w:val="20"/>
          <w:lang w:val="en-US"/>
        </w:rPr>
      </w:pPr>
    </w:p>
    <w:p w14:paraId="3BA5B4F2" w14:textId="573FEE8F" w:rsidR="003C424A" w:rsidRDefault="003C424A" w:rsidP="00640460">
      <w:pPr>
        <w:spacing w:before="120"/>
        <w:rPr>
          <w:bCs/>
          <w:lang w:val="en-US"/>
        </w:rPr>
      </w:pPr>
      <w:r>
        <w:rPr>
          <w:bCs/>
          <w:lang w:val="en-US"/>
        </w:rPr>
        <w:t>With views on allowing flexibility for UE implementation to support different channel bandwidths via different number of component carriers, certain aspects should be acknowledged before agreeing to a threshold:</w:t>
      </w:r>
    </w:p>
    <w:p w14:paraId="27738A4A" w14:textId="0849F5B8" w:rsidR="003C424A" w:rsidRPr="003C424A" w:rsidRDefault="003C424A" w:rsidP="003C424A">
      <w:pPr>
        <w:pStyle w:val="ListParagraph"/>
        <w:numPr>
          <w:ilvl w:val="0"/>
          <w:numId w:val="44"/>
        </w:numPr>
        <w:rPr>
          <w:bCs/>
          <w:sz w:val="20"/>
          <w:lang w:val="en-US"/>
        </w:rPr>
      </w:pPr>
      <w:r w:rsidRPr="003C424A">
        <w:rPr>
          <w:bCs/>
          <w:sz w:val="20"/>
          <w:lang w:val="en-US"/>
        </w:rPr>
        <w:t xml:space="preserve">UL </w:t>
      </w:r>
      <w:r>
        <w:rPr>
          <w:bCs/>
          <w:sz w:val="20"/>
          <w:lang w:val="en-US"/>
        </w:rPr>
        <w:t xml:space="preserve">bandwidth </w:t>
      </w:r>
      <w:r w:rsidRPr="003C424A">
        <w:rPr>
          <w:bCs/>
          <w:sz w:val="20"/>
          <w:lang w:val="en-US"/>
        </w:rPr>
        <w:t>support</w:t>
      </w:r>
    </w:p>
    <w:p w14:paraId="02431C70" w14:textId="29FBB79D" w:rsidR="003C424A" w:rsidRPr="009A2593" w:rsidRDefault="009A2593" w:rsidP="003C424A">
      <w:pPr>
        <w:pStyle w:val="ListParagraph"/>
        <w:numPr>
          <w:ilvl w:val="1"/>
          <w:numId w:val="44"/>
        </w:numPr>
        <w:rPr>
          <w:bCs/>
          <w:sz w:val="20"/>
          <w:lang w:val="en-US"/>
        </w:rPr>
      </w:pPr>
      <w:r w:rsidRPr="009A2593">
        <w:rPr>
          <w:bCs/>
          <w:sz w:val="20"/>
          <w:lang w:val="en-US"/>
        </w:rPr>
        <w:t>In each band, there should be wide enough UL CH BW support to provide enough capacity</w:t>
      </w:r>
    </w:p>
    <w:p w14:paraId="46BDD486" w14:textId="068235DB" w:rsidR="003C424A" w:rsidRDefault="003C424A" w:rsidP="003C424A">
      <w:pPr>
        <w:pStyle w:val="ListParagraph"/>
        <w:numPr>
          <w:ilvl w:val="1"/>
          <w:numId w:val="44"/>
        </w:numPr>
        <w:rPr>
          <w:bCs/>
          <w:sz w:val="20"/>
          <w:lang w:val="en-US"/>
        </w:rPr>
      </w:pPr>
      <w:r>
        <w:rPr>
          <w:bCs/>
          <w:sz w:val="20"/>
          <w:lang w:val="en-US"/>
        </w:rPr>
        <w:t>There are certain deployment conditions that require single CC support at least up 25 MHz</w:t>
      </w:r>
    </w:p>
    <w:p w14:paraId="1237DFF7" w14:textId="4731A97D" w:rsidR="003C424A" w:rsidRDefault="003C424A" w:rsidP="003C424A">
      <w:pPr>
        <w:pStyle w:val="ListParagraph"/>
        <w:numPr>
          <w:ilvl w:val="1"/>
          <w:numId w:val="44"/>
        </w:numPr>
        <w:rPr>
          <w:bCs/>
          <w:sz w:val="20"/>
          <w:lang w:val="en-US"/>
        </w:rPr>
      </w:pPr>
      <w:r>
        <w:rPr>
          <w:bCs/>
          <w:sz w:val="20"/>
          <w:lang w:val="en-US"/>
        </w:rPr>
        <w:t>RAN4 agreement for UEs operating with asymmetric CH BWs [3], specifically allows better deployment conditions for the UL and at the same time, for the DL, removing the need to use Intra</w:t>
      </w:r>
      <w:r>
        <w:rPr>
          <w:bCs/>
          <w:sz w:val="20"/>
          <w:lang w:val="en-US"/>
        </w:rPr>
        <w:noBreakHyphen/>
        <w:t xml:space="preserve">band Contiguous CA vs. </w:t>
      </w:r>
      <w:r w:rsidR="009A2593">
        <w:rPr>
          <w:bCs/>
          <w:sz w:val="20"/>
          <w:lang w:val="en-US"/>
        </w:rPr>
        <w:t xml:space="preserve">like in </w:t>
      </w:r>
      <w:r>
        <w:rPr>
          <w:bCs/>
          <w:sz w:val="20"/>
          <w:lang w:val="en-US"/>
        </w:rPr>
        <w:t>LTE</w:t>
      </w:r>
    </w:p>
    <w:p w14:paraId="71A190C1" w14:textId="44FF85E9" w:rsidR="00B1753C" w:rsidRPr="003C424A" w:rsidRDefault="00B1753C" w:rsidP="003C424A">
      <w:pPr>
        <w:pStyle w:val="ListParagraph"/>
        <w:numPr>
          <w:ilvl w:val="0"/>
          <w:numId w:val="44"/>
        </w:numPr>
        <w:rPr>
          <w:bCs/>
          <w:sz w:val="20"/>
          <w:lang w:val="en-US"/>
        </w:rPr>
      </w:pPr>
      <w:r w:rsidRPr="003C424A">
        <w:rPr>
          <w:bCs/>
          <w:sz w:val="20"/>
          <w:lang w:val="en-US"/>
        </w:rPr>
        <w:t>Device Complexity</w:t>
      </w:r>
    </w:p>
    <w:p w14:paraId="4A5A1019" w14:textId="3558BF33" w:rsidR="00B1753C" w:rsidRDefault="003C424A" w:rsidP="00B1753C">
      <w:pPr>
        <w:pStyle w:val="ListParagraph"/>
        <w:numPr>
          <w:ilvl w:val="1"/>
          <w:numId w:val="44"/>
        </w:numPr>
        <w:rPr>
          <w:bCs/>
          <w:sz w:val="20"/>
          <w:lang w:val="en-US"/>
        </w:rPr>
      </w:pPr>
      <w:r>
        <w:rPr>
          <w:bCs/>
          <w:sz w:val="20"/>
          <w:lang w:val="en-US"/>
        </w:rPr>
        <w:t>It should be ensured the devices in each band do not create m</w:t>
      </w:r>
      <w:r w:rsidR="00B1753C" w:rsidRPr="003C424A">
        <w:rPr>
          <w:bCs/>
          <w:sz w:val="20"/>
          <w:lang w:val="en-US"/>
        </w:rPr>
        <w:t xml:space="preserve">arket </w:t>
      </w:r>
      <w:r>
        <w:rPr>
          <w:bCs/>
          <w:sz w:val="20"/>
          <w:lang w:val="en-US"/>
        </w:rPr>
        <w:t>f</w:t>
      </w:r>
      <w:r w:rsidR="00B1753C" w:rsidRPr="003C424A">
        <w:rPr>
          <w:bCs/>
          <w:sz w:val="20"/>
          <w:lang w:val="en-US"/>
        </w:rPr>
        <w:t>ragmentation</w:t>
      </w:r>
    </w:p>
    <w:p w14:paraId="28ABC86B" w14:textId="66ADA082" w:rsidR="003C424A" w:rsidRDefault="003C424A" w:rsidP="00B1753C">
      <w:pPr>
        <w:pStyle w:val="ListParagraph"/>
        <w:numPr>
          <w:ilvl w:val="1"/>
          <w:numId w:val="44"/>
        </w:numPr>
        <w:rPr>
          <w:bCs/>
          <w:sz w:val="20"/>
          <w:lang w:val="en-US"/>
        </w:rPr>
      </w:pPr>
      <w:r>
        <w:rPr>
          <w:bCs/>
          <w:sz w:val="20"/>
          <w:lang w:val="en-US"/>
        </w:rPr>
        <w:t>Devices supporting any channel bandwidth, need to be tested for its bandwidth support, even if it supports them via CA</w:t>
      </w:r>
    </w:p>
    <w:p w14:paraId="2DF375E4" w14:textId="571FD647" w:rsidR="003C424A" w:rsidRDefault="003C424A" w:rsidP="00B1753C">
      <w:pPr>
        <w:pStyle w:val="ListParagraph"/>
        <w:numPr>
          <w:ilvl w:val="1"/>
          <w:numId w:val="44"/>
        </w:numPr>
        <w:rPr>
          <w:bCs/>
          <w:sz w:val="20"/>
          <w:lang w:val="en-US"/>
        </w:rPr>
      </w:pPr>
      <w:r>
        <w:rPr>
          <w:bCs/>
          <w:sz w:val="20"/>
          <w:lang w:val="en-US"/>
        </w:rPr>
        <w:t xml:space="preserve">Conformance tests for CA and single CC are considered different and for bandwidths that can be supported in either way, would require more difficult selection logic with tests, test points, </w:t>
      </w:r>
      <w:r w:rsidR="007F20CF">
        <w:rPr>
          <w:bCs/>
          <w:sz w:val="20"/>
          <w:lang w:val="en-US"/>
        </w:rPr>
        <w:t>and redundancy work across RAN5</w:t>
      </w:r>
    </w:p>
    <w:p w14:paraId="7B6C3C61" w14:textId="0C024EEC" w:rsidR="007F20CF" w:rsidRPr="003C424A" w:rsidRDefault="007F20CF" w:rsidP="007F20CF">
      <w:pPr>
        <w:pStyle w:val="ListParagraph"/>
        <w:numPr>
          <w:ilvl w:val="0"/>
          <w:numId w:val="44"/>
        </w:numPr>
        <w:rPr>
          <w:bCs/>
          <w:sz w:val="20"/>
          <w:lang w:val="en-US"/>
        </w:rPr>
      </w:pPr>
      <w:r>
        <w:rPr>
          <w:bCs/>
          <w:sz w:val="20"/>
          <w:lang w:val="en-US"/>
        </w:rPr>
        <w:t xml:space="preserve">CH BW size </w:t>
      </w:r>
    </w:p>
    <w:p w14:paraId="20BB3CEE" w14:textId="77777777" w:rsidR="007F20CF" w:rsidRPr="007F20CF" w:rsidRDefault="007F20CF" w:rsidP="007F20CF">
      <w:pPr>
        <w:pStyle w:val="ListParagraph"/>
        <w:numPr>
          <w:ilvl w:val="1"/>
          <w:numId w:val="44"/>
        </w:numPr>
        <w:rPr>
          <w:bCs/>
          <w:sz w:val="20"/>
          <w:lang w:val="en-US"/>
        </w:rPr>
      </w:pPr>
      <w:r w:rsidRPr="007F20CF">
        <w:rPr>
          <w:bCs/>
          <w:sz w:val="20"/>
          <w:lang w:val="en-US"/>
        </w:rPr>
        <w:t xml:space="preserve">For any NR LTE re-farming band, there should be a natural progress in supporting a higher CH BW than in LTE. </w:t>
      </w:r>
    </w:p>
    <w:p w14:paraId="1C564BEE" w14:textId="33500ACE" w:rsidR="00B1753C" w:rsidRPr="007F20CF" w:rsidRDefault="007F20CF" w:rsidP="007F20CF">
      <w:pPr>
        <w:pStyle w:val="ListParagraph"/>
        <w:numPr>
          <w:ilvl w:val="1"/>
          <w:numId w:val="44"/>
        </w:numPr>
        <w:rPr>
          <w:bCs/>
          <w:sz w:val="20"/>
          <w:lang w:val="en-US"/>
        </w:rPr>
      </w:pPr>
      <w:r w:rsidRPr="007F20CF">
        <w:rPr>
          <w:bCs/>
          <w:sz w:val="20"/>
          <w:lang w:val="en-US"/>
        </w:rPr>
        <w:t>By supporting single CC CH BWs up to 40 or 50 MHz, each re-farmed band would be allowed with more flexible CC pairing in CA.</w:t>
      </w:r>
    </w:p>
    <w:p w14:paraId="436A40DF" w14:textId="18F642A8" w:rsidR="007F20CF" w:rsidRPr="007F20CF" w:rsidRDefault="007F20CF" w:rsidP="007F20CF">
      <w:pPr>
        <w:pStyle w:val="ListParagraph"/>
        <w:numPr>
          <w:ilvl w:val="1"/>
          <w:numId w:val="44"/>
        </w:numPr>
        <w:rPr>
          <w:bCs/>
          <w:sz w:val="20"/>
          <w:lang w:val="en-US"/>
        </w:rPr>
      </w:pPr>
      <w:r w:rsidRPr="007F20CF">
        <w:rPr>
          <w:bCs/>
          <w:sz w:val="20"/>
          <w:lang w:val="en-US"/>
        </w:rPr>
        <w:t>Supporting channel bandwidths up to 40 or 50 MHz in refarmed band, together with asymmetric CH BW use would eliminate using intra-band contiguous CA up to same CH width.</w:t>
      </w:r>
    </w:p>
    <w:p w14:paraId="3A67F8B4" w14:textId="487B0A89" w:rsidR="007F20CF" w:rsidRPr="007F20CF" w:rsidRDefault="007F20CF" w:rsidP="007F20CF">
      <w:pPr>
        <w:pStyle w:val="ListParagraph"/>
        <w:numPr>
          <w:ilvl w:val="1"/>
          <w:numId w:val="44"/>
        </w:numPr>
        <w:rPr>
          <w:bCs/>
          <w:sz w:val="20"/>
          <w:lang w:val="en-US"/>
        </w:rPr>
      </w:pPr>
      <w:r w:rsidRPr="007F20CF">
        <w:rPr>
          <w:bCs/>
          <w:sz w:val="20"/>
          <w:lang w:val="en-US"/>
        </w:rPr>
        <w:t>Also, the number of CH BWs per band would still remain relatively small and not a burden to RAN5, assuming the same type of decision-making is used as in LTE with test points.</w:t>
      </w:r>
    </w:p>
    <w:p w14:paraId="5776F372" w14:textId="77777777" w:rsidR="007F20CF" w:rsidRDefault="007F20CF" w:rsidP="00B1753C">
      <w:pPr>
        <w:rPr>
          <w:b/>
        </w:rPr>
      </w:pPr>
    </w:p>
    <w:p w14:paraId="64CDBAB0" w14:textId="7E7AD61F" w:rsidR="003C424A" w:rsidRDefault="003C424A" w:rsidP="00B1753C">
      <w:pPr>
        <w:rPr>
          <w:b/>
        </w:rPr>
      </w:pPr>
      <w:r>
        <w:rPr>
          <w:b/>
        </w:rPr>
        <w:t>Observation 4</w:t>
      </w:r>
      <w:r w:rsidRPr="003C424A">
        <w:rPr>
          <w:b/>
        </w:rPr>
        <w:t xml:space="preserve">: </w:t>
      </w:r>
      <w:r>
        <w:rPr>
          <w:b/>
        </w:rPr>
        <w:t xml:space="preserve">Before agreeing the UE implementation can support different channel bandwidths via CA, the capability needs to ensure enough capacity on the UL, any band specific deployment conditions, and avoid any market fragmentation. </w:t>
      </w:r>
    </w:p>
    <w:p w14:paraId="37C33A90" w14:textId="16D66DD5" w:rsidR="007F20CF" w:rsidRPr="007F20CF" w:rsidRDefault="007F20CF" w:rsidP="007F20CF">
      <w:pPr>
        <w:rPr>
          <w:b/>
        </w:rPr>
      </w:pPr>
      <w:r>
        <w:rPr>
          <w:b/>
        </w:rPr>
        <w:lastRenderedPageBreak/>
        <w:t>O</w:t>
      </w:r>
      <w:r>
        <w:rPr>
          <w:b/>
        </w:rPr>
        <w:t>bservation 5</w:t>
      </w:r>
      <w:r w:rsidRPr="003C424A">
        <w:rPr>
          <w:b/>
        </w:rPr>
        <w:t xml:space="preserve">: </w:t>
      </w:r>
      <w:r>
        <w:rPr>
          <w:b/>
        </w:rPr>
        <w:t xml:space="preserve">Selecting a reasonably wide UE CH BW support per band, at least 40 or 50 MHz, would allow progress, flexibility, and more </w:t>
      </w:r>
      <w:r w:rsidRPr="007F20CF">
        <w:rPr>
          <w:b/>
        </w:rPr>
        <w:t xml:space="preserve">straightforward testing. </w:t>
      </w:r>
    </w:p>
    <w:p w14:paraId="5AA8F1EE" w14:textId="1D504FE5" w:rsidR="005A74CA" w:rsidRDefault="0045647C" w:rsidP="000262DA">
      <w:pPr>
        <w:rPr>
          <w:b/>
          <w:bCs/>
          <w:lang w:val="en-US"/>
        </w:rPr>
      </w:pPr>
      <w:r w:rsidRPr="007F20CF">
        <w:rPr>
          <w:b/>
        </w:rPr>
        <w:t>Proposal 1</w:t>
      </w:r>
      <w:r w:rsidR="00676EB2" w:rsidRPr="007F20CF">
        <w:rPr>
          <w:b/>
        </w:rPr>
        <w:t>:</w:t>
      </w:r>
      <w:r w:rsidR="003C424A" w:rsidRPr="007F20CF">
        <w:rPr>
          <w:b/>
        </w:rPr>
        <w:t xml:space="preserve"> For any LTE re-farming band, </w:t>
      </w:r>
      <w:r w:rsidR="003C424A" w:rsidRPr="007F20CF">
        <w:rPr>
          <w:b/>
          <w:bCs/>
          <w:lang w:val="en-US"/>
        </w:rPr>
        <w:t>a threshold requirements for supporting CH BWs by single CC configuration shall be 50 MHz</w:t>
      </w:r>
      <w:r w:rsidR="005A74CA" w:rsidRPr="007F20CF">
        <w:rPr>
          <w:b/>
          <w:bCs/>
          <w:lang w:val="en-US"/>
        </w:rPr>
        <w:t>.</w:t>
      </w:r>
    </w:p>
    <w:p w14:paraId="2D15D26B" w14:textId="77777777" w:rsidR="00C9623E" w:rsidRPr="005A74CA" w:rsidRDefault="00C9623E" w:rsidP="000262DA">
      <w:pPr>
        <w:rPr>
          <w:lang w:val="en-US"/>
        </w:rPr>
      </w:pPr>
      <w:bookmarkStart w:id="0" w:name="_GoBack"/>
      <w:bookmarkEnd w:id="0"/>
    </w:p>
    <w:p w14:paraId="7353710D" w14:textId="77777777" w:rsidR="00CD4C7B" w:rsidRPr="00762E74" w:rsidRDefault="00DA64D6" w:rsidP="00CD4C7B">
      <w:pPr>
        <w:pStyle w:val="Heading1"/>
      </w:pPr>
      <w:r w:rsidRPr="00762E74">
        <w:t>3</w:t>
      </w:r>
      <w:r w:rsidRPr="00762E74">
        <w:tab/>
        <w:t>Conclusions</w:t>
      </w:r>
    </w:p>
    <w:p w14:paraId="54B2D968" w14:textId="77777777" w:rsidR="003C424A" w:rsidRPr="0045647C" w:rsidRDefault="003C424A" w:rsidP="003C424A">
      <w:pPr>
        <w:rPr>
          <w:b/>
          <w:i/>
        </w:rPr>
      </w:pPr>
      <w:r w:rsidRPr="0045647C">
        <w:rPr>
          <w:b/>
          <w:i/>
        </w:rPr>
        <w:t>Observation 1: The agreement to specify 40MHz for 15kHz SCS and 30kHz SCS, and 60MHz for 30kHz and 60kHz SCS is reflected only in 3.3-4.2 GHz and 4.4-4.99 GHz range at the moment.</w:t>
      </w:r>
    </w:p>
    <w:p w14:paraId="3075E6F0" w14:textId="77777777" w:rsidR="003C424A" w:rsidRPr="0045647C" w:rsidRDefault="003C424A" w:rsidP="003C424A">
      <w:pPr>
        <w:rPr>
          <w:b/>
          <w:i/>
        </w:rPr>
      </w:pPr>
      <w:r w:rsidRPr="0045647C">
        <w:rPr>
          <w:b/>
          <w:i/>
        </w:rPr>
        <w:t xml:space="preserve">Observation 2: From UE point of view, if CC based SU is used with aggregated channel bandwidths up to 50 MHz, compared to single CC the utilization drops in a level of 2% in 15 kHz SCS, but has a significant drop in 30 kHz and 60 kHz SCS. </w:t>
      </w:r>
    </w:p>
    <w:p w14:paraId="36295E6E" w14:textId="77777777" w:rsidR="003C424A" w:rsidRPr="0045647C" w:rsidRDefault="003C424A" w:rsidP="003C424A">
      <w:pPr>
        <w:rPr>
          <w:b/>
          <w:i/>
        </w:rPr>
      </w:pPr>
      <w:r w:rsidRPr="0045647C">
        <w:rPr>
          <w:b/>
          <w:i/>
        </w:rPr>
        <w:t xml:space="preserve">Observation 3: From system point of view, the wideband SU needs to be the same regardless of how the UE definition is decided. </w:t>
      </w:r>
    </w:p>
    <w:p w14:paraId="0F4BB22E" w14:textId="7E7E053E" w:rsidR="003C424A" w:rsidRPr="0045647C" w:rsidRDefault="003C424A" w:rsidP="003C424A">
      <w:pPr>
        <w:rPr>
          <w:b/>
          <w:i/>
        </w:rPr>
      </w:pPr>
      <w:r w:rsidRPr="0045647C">
        <w:rPr>
          <w:b/>
          <w:i/>
        </w:rPr>
        <w:t xml:space="preserve">Observation 4: Before agreeing the UE implementation can support different channel bandwidths via CA, the capability needs to ensure enough capacity on the UL, any band specific deployment conditions, and avoid any market fragmentation. </w:t>
      </w:r>
    </w:p>
    <w:p w14:paraId="3A4A2228" w14:textId="77777777" w:rsidR="007F20CF" w:rsidRPr="007F20CF" w:rsidRDefault="007F20CF" w:rsidP="007F20CF">
      <w:pPr>
        <w:rPr>
          <w:b/>
          <w:i/>
        </w:rPr>
      </w:pPr>
      <w:r w:rsidRPr="007F20CF">
        <w:rPr>
          <w:b/>
          <w:i/>
        </w:rPr>
        <w:t xml:space="preserve">Observation 5: Selecting a reasonably wide UE CH BW support per band, at least 40 or 50 MHz, would allow progress, flexibility, and more straightforward testing. </w:t>
      </w:r>
    </w:p>
    <w:p w14:paraId="490D2183" w14:textId="77777777" w:rsidR="007F20CF" w:rsidRPr="005A74CA" w:rsidRDefault="007F20CF" w:rsidP="007F20CF">
      <w:pPr>
        <w:rPr>
          <w:lang w:val="en-US"/>
        </w:rPr>
      </w:pPr>
      <w:r w:rsidRPr="007F20CF">
        <w:rPr>
          <w:b/>
        </w:rPr>
        <w:t xml:space="preserve">Proposal 1: For any LTE re-farming band, </w:t>
      </w:r>
      <w:r w:rsidRPr="007F20CF">
        <w:rPr>
          <w:b/>
          <w:bCs/>
          <w:lang w:val="en-US"/>
        </w:rPr>
        <w:t>a threshold requirements for supporting CH BWs by single CC configuration shall be 50 MHz.</w:t>
      </w:r>
    </w:p>
    <w:p w14:paraId="395A9C6A" w14:textId="40CA9591" w:rsidR="00FB7D5A" w:rsidRPr="007F20CF" w:rsidRDefault="00FB7D5A" w:rsidP="00676EB2">
      <w:pPr>
        <w:ind w:left="1133" w:hanging="1133"/>
        <w:rPr>
          <w:b/>
          <w:lang w:val="en-US"/>
        </w:rPr>
      </w:pPr>
    </w:p>
    <w:p w14:paraId="7939D6E9" w14:textId="77777777" w:rsidR="00CD4C7B" w:rsidRPr="00762E74" w:rsidRDefault="00DA64D6" w:rsidP="00CD4C7B">
      <w:pPr>
        <w:pStyle w:val="Heading1"/>
      </w:pPr>
      <w:r w:rsidRPr="00762E74">
        <w:t>4</w:t>
      </w:r>
      <w:r w:rsidRPr="00762E74">
        <w:tab/>
      </w:r>
      <w:r w:rsidR="00CD4C7B" w:rsidRPr="00762E74">
        <w:t>References</w:t>
      </w:r>
    </w:p>
    <w:p w14:paraId="47C2132B" w14:textId="0F897934" w:rsidR="0045647C" w:rsidRPr="0045647C" w:rsidRDefault="0045647C" w:rsidP="0045647C">
      <w:pPr>
        <w:numPr>
          <w:ilvl w:val="0"/>
          <w:numId w:val="4"/>
        </w:numPr>
        <w:autoSpaceDE w:val="0"/>
        <w:autoSpaceDN w:val="0"/>
        <w:adjustRightInd w:val="0"/>
        <w:rPr>
          <w:lang w:eastAsia="zh-CN"/>
        </w:rPr>
      </w:pPr>
      <w:r w:rsidRPr="0045647C">
        <w:rPr>
          <w:lang w:eastAsia="zh-CN"/>
        </w:rPr>
        <w:t>R4-1708550, “Further progress on channel bandwidth for UE and BS”, Vodafone</w:t>
      </w:r>
    </w:p>
    <w:p w14:paraId="7B66456A" w14:textId="16968C21" w:rsidR="0045647C" w:rsidRPr="0045647C" w:rsidRDefault="0045647C" w:rsidP="0045647C">
      <w:pPr>
        <w:numPr>
          <w:ilvl w:val="0"/>
          <w:numId w:val="4"/>
        </w:numPr>
        <w:autoSpaceDE w:val="0"/>
        <w:autoSpaceDN w:val="0"/>
        <w:adjustRightInd w:val="0"/>
        <w:rPr>
          <w:lang w:eastAsia="zh-CN"/>
        </w:rPr>
      </w:pPr>
      <w:r w:rsidRPr="0045647C">
        <w:rPr>
          <w:lang w:eastAsia="zh-CN"/>
        </w:rPr>
        <w:t>R4-1708845, “WF on UE mandatory channel bandwidth”, Nokia</w:t>
      </w:r>
    </w:p>
    <w:p w14:paraId="1D81E9D2" w14:textId="6F00DB44" w:rsidR="0045647C" w:rsidRPr="0045647C" w:rsidRDefault="0045647C" w:rsidP="0045647C">
      <w:pPr>
        <w:numPr>
          <w:ilvl w:val="0"/>
          <w:numId w:val="4"/>
        </w:numPr>
        <w:autoSpaceDE w:val="0"/>
        <w:autoSpaceDN w:val="0"/>
        <w:adjustRightInd w:val="0"/>
        <w:rPr>
          <w:lang w:eastAsia="zh-CN"/>
        </w:rPr>
      </w:pPr>
      <w:r w:rsidRPr="0045647C">
        <w:rPr>
          <w:lang w:eastAsia="zh-CN"/>
        </w:rPr>
        <w:t>R4-1709074, “WF on asymmetric UE channel bandwidth operation”, Dish, Mediatek, Qualcomm, Intel</w:t>
      </w:r>
    </w:p>
    <w:p w14:paraId="1BF3EFF0" w14:textId="5EE84CF6" w:rsidR="0045647C" w:rsidRPr="0045647C" w:rsidRDefault="0045647C" w:rsidP="0045647C">
      <w:pPr>
        <w:numPr>
          <w:ilvl w:val="0"/>
          <w:numId w:val="4"/>
        </w:numPr>
        <w:autoSpaceDE w:val="0"/>
        <w:autoSpaceDN w:val="0"/>
        <w:adjustRightInd w:val="0"/>
        <w:rPr>
          <w:lang w:eastAsia="zh-CN"/>
        </w:rPr>
      </w:pPr>
      <w:r w:rsidRPr="0045647C">
        <w:rPr>
          <w:lang w:eastAsia="zh-CN"/>
        </w:rPr>
        <w:t xml:space="preserve">R4-1708851, “WF on spectrum utilization in wideband operation”, </w:t>
      </w:r>
      <w:r>
        <w:rPr>
          <w:lang w:eastAsia="zh-CN"/>
        </w:rPr>
        <w:t>ZTE</w:t>
      </w:r>
    </w:p>
    <w:p w14:paraId="78488B13" w14:textId="40C7ACCA" w:rsidR="0045647C" w:rsidRPr="0045647C" w:rsidRDefault="0045647C" w:rsidP="0045647C">
      <w:pPr>
        <w:numPr>
          <w:ilvl w:val="0"/>
          <w:numId w:val="4"/>
        </w:numPr>
        <w:autoSpaceDE w:val="0"/>
        <w:autoSpaceDN w:val="0"/>
        <w:adjustRightInd w:val="0"/>
        <w:rPr>
          <w:lang w:eastAsia="zh-CN"/>
        </w:rPr>
      </w:pPr>
      <w:r w:rsidRPr="0045647C">
        <w:rPr>
          <w:lang w:eastAsia="zh-CN"/>
        </w:rPr>
        <w:t>R4-1709075, “Way forward on spectrum utilization”, Samsung, Qualcomm, Intel, Ericsson, Nokia,[ZTE]</w:t>
      </w:r>
    </w:p>
    <w:p w14:paraId="14101353" w14:textId="49FE015D" w:rsidR="0045647C" w:rsidRPr="0045647C" w:rsidRDefault="0045647C" w:rsidP="0045647C">
      <w:pPr>
        <w:numPr>
          <w:ilvl w:val="0"/>
          <w:numId w:val="4"/>
        </w:numPr>
        <w:autoSpaceDE w:val="0"/>
        <w:autoSpaceDN w:val="0"/>
        <w:adjustRightInd w:val="0"/>
        <w:rPr>
          <w:lang w:eastAsia="zh-CN"/>
        </w:rPr>
      </w:pPr>
      <w:r w:rsidRPr="0045647C">
        <w:rPr>
          <w:lang w:eastAsia="zh-CN"/>
        </w:rPr>
        <w:t>R4-1708850</w:t>
      </w:r>
      <w:r>
        <w:rPr>
          <w:lang w:eastAsia="zh-CN"/>
        </w:rPr>
        <w:t xml:space="preserve"> , “</w:t>
      </w:r>
      <w:r w:rsidRPr="0045647C">
        <w:rPr>
          <w:lang w:eastAsia="zh-CN"/>
        </w:rPr>
        <w:t>WF on Channel Raster for NR</w:t>
      </w:r>
      <w:r>
        <w:rPr>
          <w:lang w:eastAsia="zh-CN"/>
        </w:rPr>
        <w:t xml:space="preserve">”, </w:t>
      </w:r>
      <w:r w:rsidRPr="0045647C">
        <w:rPr>
          <w:lang w:eastAsia="zh-CN"/>
        </w:rPr>
        <w:t>Qualcomm Incorporated, Ericsson,</w:t>
      </w:r>
      <w:r w:rsidRPr="0045647C">
        <w:rPr>
          <w:rFonts w:ascii="MS Mincho" w:eastAsia="MS Mincho" w:hAnsi="MS Mincho" w:cs="MS Mincho" w:hint="eastAsia"/>
          <w:lang w:eastAsia="zh-CN"/>
        </w:rPr>
        <w:t xml:space="preserve">　</w:t>
      </w:r>
      <w:r w:rsidRPr="0045647C">
        <w:rPr>
          <w:lang w:eastAsia="zh-CN"/>
        </w:rPr>
        <w:t>Vodafone,  AT&amp;T, Sprint, Verizon, ZTE</w:t>
      </w:r>
    </w:p>
    <w:sectPr w:rsidR="0045647C" w:rsidRPr="0045647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F53A8" w14:textId="77777777" w:rsidR="00307A39" w:rsidRDefault="00307A39">
      <w:r>
        <w:separator/>
      </w:r>
    </w:p>
  </w:endnote>
  <w:endnote w:type="continuationSeparator" w:id="0">
    <w:p w14:paraId="3A70E7B8" w14:textId="77777777" w:rsidR="00307A39" w:rsidRDefault="00307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ucida Grande">
    <w:charset w:val="00"/>
    <w:family w:val="auto"/>
    <w:pitch w:val="variable"/>
    <w:sig w:usb0="E1000AEF" w:usb1="5000A1FF" w:usb2="00000000" w:usb3="00000000" w:csb0="000001B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0E7930" w14:textId="77777777" w:rsidR="00307A39" w:rsidRDefault="00307A39">
      <w:r>
        <w:separator/>
      </w:r>
    </w:p>
  </w:footnote>
  <w:footnote w:type="continuationSeparator" w:id="0">
    <w:p w14:paraId="184FB38B" w14:textId="77777777" w:rsidR="00307A39" w:rsidRDefault="00307A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77B85"/>
    <w:multiLevelType w:val="hybridMultilevel"/>
    <w:tmpl w:val="049413E8"/>
    <w:lvl w:ilvl="0" w:tplc="10B2DB00">
      <w:start w:val="1"/>
      <w:numFmt w:val="bullet"/>
      <w:lvlText w:val="•"/>
      <w:lvlJc w:val="left"/>
      <w:pPr>
        <w:tabs>
          <w:tab w:val="num" w:pos="1496"/>
        </w:tabs>
        <w:ind w:left="1496" w:hanging="360"/>
      </w:pPr>
      <w:rPr>
        <w:rFonts w:ascii="Arial" w:hAnsi="Arial" w:hint="default"/>
      </w:rPr>
    </w:lvl>
    <w:lvl w:ilvl="1" w:tplc="15441718">
      <w:start w:val="45"/>
      <w:numFmt w:val="bullet"/>
      <w:lvlText w:val="–"/>
      <w:lvlJc w:val="left"/>
      <w:pPr>
        <w:tabs>
          <w:tab w:val="num" w:pos="2216"/>
        </w:tabs>
        <w:ind w:left="2216" w:hanging="360"/>
      </w:pPr>
      <w:rPr>
        <w:rFonts w:ascii="Arial" w:hAnsi="Arial" w:hint="default"/>
      </w:rPr>
    </w:lvl>
    <w:lvl w:ilvl="2" w:tplc="36060C04" w:tentative="1">
      <w:start w:val="1"/>
      <w:numFmt w:val="bullet"/>
      <w:lvlText w:val="•"/>
      <w:lvlJc w:val="left"/>
      <w:pPr>
        <w:tabs>
          <w:tab w:val="num" w:pos="2936"/>
        </w:tabs>
        <w:ind w:left="2936" w:hanging="360"/>
      </w:pPr>
      <w:rPr>
        <w:rFonts w:ascii="Arial" w:hAnsi="Arial" w:hint="default"/>
      </w:rPr>
    </w:lvl>
    <w:lvl w:ilvl="3" w:tplc="702CC770" w:tentative="1">
      <w:start w:val="1"/>
      <w:numFmt w:val="bullet"/>
      <w:lvlText w:val="•"/>
      <w:lvlJc w:val="left"/>
      <w:pPr>
        <w:tabs>
          <w:tab w:val="num" w:pos="3656"/>
        </w:tabs>
        <w:ind w:left="3656" w:hanging="360"/>
      </w:pPr>
      <w:rPr>
        <w:rFonts w:ascii="Arial" w:hAnsi="Arial" w:hint="default"/>
      </w:rPr>
    </w:lvl>
    <w:lvl w:ilvl="4" w:tplc="B6CAD624" w:tentative="1">
      <w:start w:val="1"/>
      <w:numFmt w:val="bullet"/>
      <w:lvlText w:val="•"/>
      <w:lvlJc w:val="left"/>
      <w:pPr>
        <w:tabs>
          <w:tab w:val="num" w:pos="4376"/>
        </w:tabs>
        <w:ind w:left="4376" w:hanging="360"/>
      </w:pPr>
      <w:rPr>
        <w:rFonts w:ascii="Arial" w:hAnsi="Arial" w:hint="default"/>
      </w:rPr>
    </w:lvl>
    <w:lvl w:ilvl="5" w:tplc="E23CCCA2" w:tentative="1">
      <w:start w:val="1"/>
      <w:numFmt w:val="bullet"/>
      <w:lvlText w:val="•"/>
      <w:lvlJc w:val="left"/>
      <w:pPr>
        <w:tabs>
          <w:tab w:val="num" w:pos="5096"/>
        </w:tabs>
        <w:ind w:left="5096" w:hanging="360"/>
      </w:pPr>
      <w:rPr>
        <w:rFonts w:ascii="Arial" w:hAnsi="Arial" w:hint="default"/>
      </w:rPr>
    </w:lvl>
    <w:lvl w:ilvl="6" w:tplc="E5BE4310" w:tentative="1">
      <w:start w:val="1"/>
      <w:numFmt w:val="bullet"/>
      <w:lvlText w:val="•"/>
      <w:lvlJc w:val="left"/>
      <w:pPr>
        <w:tabs>
          <w:tab w:val="num" w:pos="5816"/>
        </w:tabs>
        <w:ind w:left="5816" w:hanging="360"/>
      </w:pPr>
      <w:rPr>
        <w:rFonts w:ascii="Arial" w:hAnsi="Arial" w:hint="default"/>
      </w:rPr>
    </w:lvl>
    <w:lvl w:ilvl="7" w:tplc="1F5A07C2" w:tentative="1">
      <w:start w:val="1"/>
      <w:numFmt w:val="bullet"/>
      <w:lvlText w:val="•"/>
      <w:lvlJc w:val="left"/>
      <w:pPr>
        <w:tabs>
          <w:tab w:val="num" w:pos="6536"/>
        </w:tabs>
        <w:ind w:left="6536" w:hanging="360"/>
      </w:pPr>
      <w:rPr>
        <w:rFonts w:ascii="Arial" w:hAnsi="Arial" w:hint="default"/>
      </w:rPr>
    </w:lvl>
    <w:lvl w:ilvl="8" w:tplc="E68E6B66" w:tentative="1">
      <w:start w:val="1"/>
      <w:numFmt w:val="bullet"/>
      <w:lvlText w:val="•"/>
      <w:lvlJc w:val="left"/>
      <w:pPr>
        <w:tabs>
          <w:tab w:val="num" w:pos="7256"/>
        </w:tabs>
        <w:ind w:left="7256" w:hanging="360"/>
      </w:pPr>
      <w:rPr>
        <w:rFonts w:ascii="Arial" w:hAnsi="Arial" w:hint="default"/>
      </w:rPr>
    </w:lvl>
  </w:abstractNum>
  <w:abstractNum w:abstractNumId="3" w15:restartNumberingAfterBreak="0">
    <w:nsid w:val="02703834"/>
    <w:multiLevelType w:val="hybridMultilevel"/>
    <w:tmpl w:val="C23623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08717D"/>
    <w:multiLevelType w:val="hybridMultilevel"/>
    <w:tmpl w:val="4CE0AD9A"/>
    <w:lvl w:ilvl="0" w:tplc="720E0CF4">
      <w:start w:val="1"/>
      <w:numFmt w:val="bullet"/>
      <w:lvlText w:val="•"/>
      <w:lvlJc w:val="left"/>
      <w:pPr>
        <w:tabs>
          <w:tab w:val="num" w:pos="1496"/>
        </w:tabs>
        <w:ind w:left="1496" w:hanging="360"/>
      </w:pPr>
      <w:rPr>
        <w:rFonts w:ascii="Arial" w:hAnsi="Arial" w:hint="default"/>
      </w:rPr>
    </w:lvl>
    <w:lvl w:ilvl="1" w:tplc="64EE949E" w:tentative="1">
      <w:start w:val="1"/>
      <w:numFmt w:val="bullet"/>
      <w:lvlText w:val="•"/>
      <w:lvlJc w:val="left"/>
      <w:pPr>
        <w:tabs>
          <w:tab w:val="num" w:pos="2216"/>
        </w:tabs>
        <w:ind w:left="2216" w:hanging="360"/>
      </w:pPr>
      <w:rPr>
        <w:rFonts w:ascii="Arial" w:hAnsi="Arial" w:hint="default"/>
      </w:rPr>
    </w:lvl>
    <w:lvl w:ilvl="2" w:tplc="DCCACB56" w:tentative="1">
      <w:start w:val="1"/>
      <w:numFmt w:val="bullet"/>
      <w:lvlText w:val="•"/>
      <w:lvlJc w:val="left"/>
      <w:pPr>
        <w:tabs>
          <w:tab w:val="num" w:pos="2936"/>
        </w:tabs>
        <w:ind w:left="2936" w:hanging="360"/>
      </w:pPr>
      <w:rPr>
        <w:rFonts w:ascii="Arial" w:hAnsi="Arial" w:hint="default"/>
      </w:rPr>
    </w:lvl>
    <w:lvl w:ilvl="3" w:tplc="23560858" w:tentative="1">
      <w:start w:val="1"/>
      <w:numFmt w:val="bullet"/>
      <w:lvlText w:val="•"/>
      <w:lvlJc w:val="left"/>
      <w:pPr>
        <w:tabs>
          <w:tab w:val="num" w:pos="3656"/>
        </w:tabs>
        <w:ind w:left="3656" w:hanging="360"/>
      </w:pPr>
      <w:rPr>
        <w:rFonts w:ascii="Arial" w:hAnsi="Arial" w:hint="default"/>
      </w:rPr>
    </w:lvl>
    <w:lvl w:ilvl="4" w:tplc="89726DEE" w:tentative="1">
      <w:start w:val="1"/>
      <w:numFmt w:val="bullet"/>
      <w:lvlText w:val="•"/>
      <w:lvlJc w:val="left"/>
      <w:pPr>
        <w:tabs>
          <w:tab w:val="num" w:pos="4376"/>
        </w:tabs>
        <w:ind w:left="4376" w:hanging="360"/>
      </w:pPr>
      <w:rPr>
        <w:rFonts w:ascii="Arial" w:hAnsi="Arial" w:hint="default"/>
      </w:rPr>
    </w:lvl>
    <w:lvl w:ilvl="5" w:tplc="C2360B0A" w:tentative="1">
      <w:start w:val="1"/>
      <w:numFmt w:val="bullet"/>
      <w:lvlText w:val="•"/>
      <w:lvlJc w:val="left"/>
      <w:pPr>
        <w:tabs>
          <w:tab w:val="num" w:pos="5096"/>
        </w:tabs>
        <w:ind w:left="5096" w:hanging="360"/>
      </w:pPr>
      <w:rPr>
        <w:rFonts w:ascii="Arial" w:hAnsi="Arial" w:hint="default"/>
      </w:rPr>
    </w:lvl>
    <w:lvl w:ilvl="6" w:tplc="F37A45E6" w:tentative="1">
      <w:start w:val="1"/>
      <w:numFmt w:val="bullet"/>
      <w:lvlText w:val="•"/>
      <w:lvlJc w:val="left"/>
      <w:pPr>
        <w:tabs>
          <w:tab w:val="num" w:pos="5816"/>
        </w:tabs>
        <w:ind w:left="5816" w:hanging="360"/>
      </w:pPr>
      <w:rPr>
        <w:rFonts w:ascii="Arial" w:hAnsi="Arial" w:hint="default"/>
      </w:rPr>
    </w:lvl>
    <w:lvl w:ilvl="7" w:tplc="F88484D0" w:tentative="1">
      <w:start w:val="1"/>
      <w:numFmt w:val="bullet"/>
      <w:lvlText w:val="•"/>
      <w:lvlJc w:val="left"/>
      <w:pPr>
        <w:tabs>
          <w:tab w:val="num" w:pos="6536"/>
        </w:tabs>
        <w:ind w:left="6536" w:hanging="360"/>
      </w:pPr>
      <w:rPr>
        <w:rFonts w:ascii="Arial" w:hAnsi="Arial" w:hint="default"/>
      </w:rPr>
    </w:lvl>
    <w:lvl w:ilvl="8" w:tplc="C10ED696" w:tentative="1">
      <w:start w:val="1"/>
      <w:numFmt w:val="bullet"/>
      <w:lvlText w:val="•"/>
      <w:lvlJc w:val="left"/>
      <w:pPr>
        <w:tabs>
          <w:tab w:val="num" w:pos="7256"/>
        </w:tabs>
        <w:ind w:left="7256" w:hanging="360"/>
      </w:pPr>
      <w:rPr>
        <w:rFonts w:ascii="Arial" w:hAnsi="Arial" w:hint="default"/>
      </w:rPr>
    </w:lvl>
  </w:abstractNum>
  <w:abstractNum w:abstractNumId="5"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6" w15:restartNumberingAfterBreak="0">
    <w:nsid w:val="10276B78"/>
    <w:multiLevelType w:val="hybridMultilevel"/>
    <w:tmpl w:val="8DDA774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1C1240"/>
    <w:multiLevelType w:val="hybridMultilevel"/>
    <w:tmpl w:val="AF722638"/>
    <w:lvl w:ilvl="0" w:tplc="AC8ACB52">
      <w:start w:val="1"/>
      <w:numFmt w:val="bullet"/>
      <w:lvlText w:val="•"/>
      <w:lvlJc w:val="left"/>
      <w:pPr>
        <w:tabs>
          <w:tab w:val="num" w:pos="720"/>
        </w:tabs>
        <w:ind w:left="720" w:hanging="360"/>
      </w:pPr>
      <w:rPr>
        <w:rFonts w:ascii="Arial" w:hAnsi="Arial" w:hint="default"/>
      </w:rPr>
    </w:lvl>
    <w:lvl w:ilvl="1" w:tplc="B6149D4E">
      <w:start w:val="43"/>
      <w:numFmt w:val="bullet"/>
      <w:lvlText w:val="-"/>
      <w:lvlJc w:val="left"/>
      <w:pPr>
        <w:tabs>
          <w:tab w:val="num" w:pos="1440"/>
        </w:tabs>
        <w:ind w:left="1440" w:hanging="360"/>
      </w:pPr>
      <w:rPr>
        <w:rFonts w:ascii="Lucida Grande" w:hAnsi="Lucida Grande" w:hint="default"/>
      </w:rPr>
    </w:lvl>
    <w:lvl w:ilvl="2" w:tplc="3F38CA08" w:tentative="1">
      <w:start w:val="1"/>
      <w:numFmt w:val="bullet"/>
      <w:lvlText w:val="•"/>
      <w:lvlJc w:val="left"/>
      <w:pPr>
        <w:tabs>
          <w:tab w:val="num" w:pos="2160"/>
        </w:tabs>
        <w:ind w:left="2160" w:hanging="360"/>
      </w:pPr>
      <w:rPr>
        <w:rFonts w:ascii="Arial" w:hAnsi="Arial" w:hint="default"/>
      </w:rPr>
    </w:lvl>
    <w:lvl w:ilvl="3" w:tplc="49A6C80A" w:tentative="1">
      <w:start w:val="1"/>
      <w:numFmt w:val="bullet"/>
      <w:lvlText w:val="•"/>
      <w:lvlJc w:val="left"/>
      <w:pPr>
        <w:tabs>
          <w:tab w:val="num" w:pos="2880"/>
        </w:tabs>
        <w:ind w:left="2880" w:hanging="360"/>
      </w:pPr>
      <w:rPr>
        <w:rFonts w:ascii="Arial" w:hAnsi="Arial" w:hint="default"/>
      </w:rPr>
    </w:lvl>
    <w:lvl w:ilvl="4" w:tplc="D8724916" w:tentative="1">
      <w:start w:val="1"/>
      <w:numFmt w:val="bullet"/>
      <w:lvlText w:val="•"/>
      <w:lvlJc w:val="left"/>
      <w:pPr>
        <w:tabs>
          <w:tab w:val="num" w:pos="3600"/>
        </w:tabs>
        <w:ind w:left="3600" w:hanging="360"/>
      </w:pPr>
      <w:rPr>
        <w:rFonts w:ascii="Arial" w:hAnsi="Arial" w:hint="default"/>
      </w:rPr>
    </w:lvl>
    <w:lvl w:ilvl="5" w:tplc="2F58A84E" w:tentative="1">
      <w:start w:val="1"/>
      <w:numFmt w:val="bullet"/>
      <w:lvlText w:val="•"/>
      <w:lvlJc w:val="left"/>
      <w:pPr>
        <w:tabs>
          <w:tab w:val="num" w:pos="4320"/>
        </w:tabs>
        <w:ind w:left="4320" w:hanging="360"/>
      </w:pPr>
      <w:rPr>
        <w:rFonts w:ascii="Arial" w:hAnsi="Arial" w:hint="default"/>
      </w:rPr>
    </w:lvl>
    <w:lvl w:ilvl="6" w:tplc="39086648" w:tentative="1">
      <w:start w:val="1"/>
      <w:numFmt w:val="bullet"/>
      <w:lvlText w:val="•"/>
      <w:lvlJc w:val="left"/>
      <w:pPr>
        <w:tabs>
          <w:tab w:val="num" w:pos="5040"/>
        </w:tabs>
        <w:ind w:left="5040" w:hanging="360"/>
      </w:pPr>
      <w:rPr>
        <w:rFonts w:ascii="Arial" w:hAnsi="Arial" w:hint="default"/>
      </w:rPr>
    </w:lvl>
    <w:lvl w:ilvl="7" w:tplc="42B69300" w:tentative="1">
      <w:start w:val="1"/>
      <w:numFmt w:val="bullet"/>
      <w:lvlText w:val="•"/>
      <w:lvlJc w:val="left"/>
      <w:pPr>
        <w:tabs>
          <w:tab w:val="num" w:pos="5760"/>
        </w:tabs>
        <w:ind w:left="5760" w:hanging="360"/>
      </w:pPr>
      <w:rPr>
        <w:rFonts w:ascii="Arial" w:hAnsi="Arial" w:hint="default"/>
      </w:rPr>
    </w:lvl>
    <w:lvl w:ilvl="8" w:tplc="E0D279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494D9C"/>
    <w:multiLevelType w:val="hybridMultilevel"/>
    <w:tmpl w:val="1182179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1C907448"/>
    <w:multiLevelType w:val="hybridMultilevel"/>
    <w:tmpl w:val="C23623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796D18"/>
    <w:multiLevelType w:val="hybridMultilevel"/>
    <w:tmpl w:val="75CEDBDE"/>
    <w:lvl w:ilvl="0" w:tplc="A44A3B46">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6" w15:restartNumberingAfterBreak="0">
    <w:nsid w:val="2E2A45D2"/>
    <w:multiLevelType w:val="hybridMultilevel"/>
    <w:tmpl w:val="9858EE1E"/>
    <w:lvl w:ilvl="0" w:tplc="91A26D8A">
      <w:start w:val="1"/>
      <w:numFmt w:val="bullet"/>
      <w:lvlText w:val="•"/>
      <w:lvlJc w:val="left"/>
      <w:pPr>
        <w:tabs>
          <w:tab w:val="num" w:pos="720"/>
        </w:tabs>
        <w:ind w:left="720" w:hanging="360"/>
      </w:pPr>
      <w:rPr>
        <w:rFonts w:ascii="Arial" w:hAnsi="Arial" w:hint="default"/>
      </w:rPr>
    </w:lvl>
    <w:lvl w:ilvl="1" w:tplc="C584E760">
      <w:start w:val="59"/>
      <w:numFmt w:val="bullet"/>
      <w:lvlText w:val="-"/>
      <w:lvlJc w:val="left"/>
      <w:pPr>
        <w:tabs>
          <w:tab w:val="num" w:pos="1440"/>
        </w:tabs>
        <w:ind w:left="1440" w:hanging="360"/>
      </w:pPr>
      <w:rPr>
        <w:rFonts w:ascii="Lucida Grande" w:hAnsi="Lucida Grande" w:hint="default"/>
      </w:rPr>
    </w:lvl>
    <w:lvl w:ilvl="2" w:tplc="D7C63E4C" w:tentative="1">
      <w:start w:val="1"/>
      <w:numFmt w:val="bullet"/>
      <w:lvlText w:val="•"/>
      <w:lvlJc w:val="left"/>
      <w:pPr>
        <w:tabs>
          <w:tab w:val="num" w:pos="2160"/>
        </w:tabs>
        <w:ind w:left="2160" w:hanging="360"/>
      </w:pPr>
      <w:rPr>
        <w:rFonts w:ascii="Arial" w:hAnsi="Arial" w:hint="default"/>
      </w:rPr>
    </w:lvl>
    <w:lvl w:ilvl="3" w:tplc="32786D0E" w:tentative="1">
      <w:start w:val="1"/>
      <w:numFmt w:val="bullet"/>
      <w:lvlText w:val="•"/>
      <w:lvlJc w:val="left"/>
      <w:pPr>
        <w:tabs>
          <w:tab w:val="num" w:pos="2880"/>
        </w:tabs>
        <w:ind w:left="2880" w:hanging="360"/>
      </w:pPr>
      <w:rPr>
        <w:rFonts w:ascii="Arial" w:hAnsi="Arial" w:hint="default"/>
      </w:rPr>
    </w:lvl>
    <w:lvl w:ilvl="4" w:tplc="16CCEEB0" w:tentative="1">
      <w:start w:val="1"/>
      <w:numFmt w:val="bullet"/>
      <w:lvlText w:val="•"/>
      <w:lvlJc w:val="left"/>
      <w:pPr>
        <w:tabs>
          <w:tab w:val="num" w:pos="3600"/>
        </w:tabs>
        <w:ind w:left="3600" w:hanging="360"/>
      </w:pPr>
      <w:rPr>
        <w:rFonts w:ascii="Arial" w:hAnsi="Arial" w:hint="default"/>
      </w:rPr>
    </w:lvl>
    <w:lvl w:ilvl="5" w:tplc="8BB40D2C" w:tentative="1">
      <w:start w:val="1"/>
      <w:numFmt w:val="bullet"/>
      <w:lvlText w:val="•"/>
      <w:lvlJc w:val="left"/>
      <w:pPr>
        <w:tabs>
          <w:tab w:val="num" w:pos="4320"/>
        </w:tabs>
        <w:ind w:left="4320" w:hanging="360"/>
      </w:pPr>
      <w:rPr>
        <w:rFonts w:ascii="Arial" w:hAnsi="Arial" w:hint="default"/>
      </w:rPr>
    </w:lvl>
    <w:lvl w:ilvl="6" w:tplc="D3527842" w:tentative="1">
      <w:start w:val="1"/>
      <w:numFmt w:val="bullet"/>
      <w:lvlText w:val="•"/>
      <w:lvlJc w:val="left"/>
      <w:pPr>
        <w:tabs>
          <w:tab w:val="num" w:pos="5040"/>
        </w:tabs>
        <w:ind w:left="5040" w:hanging="360"/>
      </w:pPr>
      <w:rPr>
        <w:rFonts w:ascii="Arial" w:hAnsi="Arial" w:hint="default"/>
      </w:rPr>
    </w:lvl>
    <w:lvl w:ilvl="7" w:tplc="E390B520" w:tentative="1">
      <w:start w:val="1"/>
      <w:numFmt w:val="bullet"/>
      <w:lvlText w:val="•"/>
      <w:lvlJc w:val="left"/>
      <w:pPr>
        <w:tabs>
          <w:tab w:val="num" w:pos="5760"/>
        </w:tabs>
        <w:ind w:left="5760" w:hanging="360"/>
      </w:pPr>
      <w:rPr>
        <w:rFonts w:ascii="Arial" w:hAnsi="Arial" w:hint="default"/>
      </w:rPr>
    </w:lvl>
    <w:lvl w:ilvl="8" w:tplc="3078C28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60672C"/>
    <w:multiLevelType w:val="hybridMultilevel"/>
    <w:tmpl w:val="BF94080E"/>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9" w15:restartNumberingAfterBreak="0">
    <w:nsid w:val="356E048D"/>
    <w:multiLevelType w:val="hybridMultilevel"/>
    <w:tmpl w:val="622E1560"/>
    <w:lvl w:ilvl="0" w:tplc="1C844F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3"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42F0629"/>
    <w:multiLevelType w:val="hybridMultilevel"/>
    <w:tmpl w:val="075213C4"/>
    <w:lvl w:ilvl="0" w:tplc="978E8A1A">
      <w:start w:val="1"/>
      <w:numFmt w:val="bullet"/>
      <w:lvlText w:val="•"/>
      <w:lvlJc w:val="left"/>
      <w:pPr>
        <w:tabs>
          <w:tab w:val="num" w:pos="720"/>
        </w:tabs>
        <w:ind w:left="720" w:hanging="360"/>
      </w:pPr>
      <w:rPr>
        <w:rFonts w:ascii="Arial" w:hAnsi="Arial" w:hint="default"/>
      </w:rPr>
    </w:lvl>
    <w:lvl w:ilvl="1" w:tplc="7584A9E4">
      <w:numFmt w:val="bullet"/>
      <w:lvlText w:val="•"/>
      <w:lvlJc w:val="left"/>
      <w:pPr>
        <w:tabs>
          <w:tab w:val="num" w:pos="1440"/>
        </w:tabs>
        <w:ind w:left="1440" w:hanging="360"/>
      </w:pPr>
      <w:rPr>
        <w:rFonts w:ascii="Arial" w:hAnsi="Arial" w:hint="default"/>
      </w:rPr>
    </w:lvl>
    <w:lvl w:ilvl="2" w:tplc="08946732" w:tentative="1">
      <w:start w:val="1"/>
      <w:numFmt w:val="bullet"/>
      <w:lvlText w:val="•"/>
      <w:lvlJc w:val="left"/>
      <w:pPr>
        <w:tabs>
          <w:tab w:val="num" w:pos="2160"/>
        </w:tabs>
        <w:ind w:left="2160" w:hanging="360"/>
      </w:pPr>
      <w:rPr>
        <w:rFonts w:ascii="Arial" w:hAnsi="Arial" w:hint="default"/>
      </w:rPr>
    </w:lvl>
    <w:lvl w:ilvl="3" w:tplc="481499D2" w:tentative="1">
      <w:start w:val="1"/>
      <w:numFmt w:val="bullet"/>
      <w:lvlText w:val="•"/>
      <w:lvlJc w:val="left"/>
      <w:pPr>
        <w:tabs>
          <w:tab w:val="num" w:pos="2880"/>
        </w:tabs>
        <w:ind w:left="2880" w:hanging="360"/>
      </w:pPr>
      <w:rPr>
        <w:rFonts w:ascii="Arial" w:hAnsi="Arial" w:hint="default"/>
      </w:rPr>
    </w:lvl>
    <w:lvl w:ilvl="4" w:tplc="AF0CD3EC" w:tentative="1">
      <w:start w:val="1"/>
      <w:numFmt w:val="bullet"/>
      <w:lvlText w:val="•"/>
      <w:lvlJc w:val="left"/>
      <w:pPr>
        <w:tabs>
          <w:tab w:val="num" w:pos="3600"/>
        </w:tabs>
        <w:ind w:left="3600" w:hanging="360"/>
      </w:pPr>
      <w:rPr>
        <w:rFonts w:ascii="Arial" w:hAnsi="Arial" w:hint="default"/>
      </w:rPr>
    </w:lvl>
    <w:lvl w:ilvl="5" w:tplc="AD504BD8" w:tentative="1">
      <w:start w:val="1"/>
      <w:numFmt w:val="bullet"/>
      <w:lvlText w:val="•"/>
      <w:lvlJc w:val="left"/>
      <w:pPr>
        <w:tabs>
          <w:tab w:val="num" w:pos="4320"/>
        </w:tabs>
        <w:ind w:left="4320" w:hanging="360"/>
      </w:pPr>
      <w:rPr>
        <w:rFonts w:ascii="Arial" w:hAnsi="Arial" w:hint="default"/>
      </w:rPr>
    </w:lvl>
    <w:lvl w:ilvl="6" w:tplc="F3DCCF0E" w:tentative="1">
      <w:start w:val="1"/>
      <w:numFmt w:val="bullet"/>
      <w:lvlText w:val="•"/>
      <w:lvlJc w:val="left"/>
      <w:pPr>
        <w:tabs>
          <w:tab w:val="num" w:pos="5040"/>
        </w:tabs>
        <w:ind w:left="5040" w:hanging="360"/>
      </w:pPr>
      <w:rPr>
        <w:rFonts w:ascii="Arial" w:hAnsi="Arial" w:hint="default"/>
      </w:rPr>
    </w:lvl>
    <w:lvl w:ilvl="7" w:tplc="D2A6B198" w:tentative="1">
      <w:start w:val="1"/>
      <w:numFmt w:val="bullet"/>
      <w:lvlText w:val="•"/>
      <w:lvlJc w:val="left"/>
      <w:pPr>
        <w:tabs>
          <w:tab w:val="num" w:pos="5760"/>
        </w:tabs>
        <w:ind w:left="5760" w:hanging="360"/>
      </w:pPr>
      <w:rPr>
        <w:rFonts w:ascii="Arial" w:hAnsi="Arial" w:hint="default"/>
      </w:rPr>
    </w:lvl>
    <w:lvl w:ilvl="8" w:tplc="AB08D62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6"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5B203B"/>
    <w:multiLevelType w:val="hybridMultilevel"/>
    <w:tmpl w:val="802CAE54"/>
    <w:lvl w:ilvl="0" w:tplc="83609416">
      <w:start w:val="1"/>
      <w:numFmt w:val="bullet"/>
      <w:lvlText w:val="•"/>
      <w:lvlJc w:val="left"/>
      <w:pPr>
        <w:tabs>
          <w:tab w:val="num" w:pos="720"/>
        </w:tabs>
        <w:ind w:left="720" w:hanging="360"/>
      </w:pPr>
      <w:rPr>
        <w:rFonts w:ascii="Arial" w:hAnsi="Arial" w:hint="default"/>
      </w:rPr>
    </w:lvl>
    <w:lvl w:ilvl="1" w:tplc="B7C8F87E" w:tentative="1">
      <w:start w:val="1"/>
      <w:numFmt w:val="bullet"/>
      <w:lvlText w:val="•"/>
      <w:lvlJc w:val="left"/>
      <w:pPr>
        <w:tabs>
          <w:tab w:val="num" w:pos="1440"/>
        </w:tabs>
        <w:ind w:left="1440" w:hanging="360"/>
      </w:pPr>
      <w:rPr>
        <w:rFonts w:ascii="Arial" w:hAnsi="Arial" w:hint="default"/>
      </w:rPr>
    </w:lvl>
    <w:lvl w:ilvl="2" w:tplc="88B27D50" w:tentative="1">
      <w:start w:val="1"/>
      <w:numFmt w:val="bullet"/>
      <w:lvlText w:val="•"/>
      <w:lvlJc w:val="left"/>
      <w:pPr>
        <w:tabs>
          <w:tab w:val="num" w:pos="2160"/>
        </w:tabs>
        <w:ind w:left="2160" w:hanging="360"/>
      </w:pPr>
      <w:rPr>
        <w:rFonts w:ascii="Arial" w:hAnsi="Arial" w:hint="default"/>
      </w:rPr>
    </w:lvl>
    <w:lvl w:ilvl="3" w:tplc="06704276" w:tentative="1">
      <w:start w:val="1"/>
      <w:numFmt w:val="bullet"/>
      <w:lvlText w:val="•"/>
      <w:lvlJc w:val="left"/>
      <w:pPr>
        <w:tabs>
          <w:tab w:val="num" w:pos="2880"/>
        </w:tabs>
        <w:ind w:left="2880" w:hanging="360"/>
      </w:pPr>
      <w:rPr>
        <w:rFonts w:ascii="Arial" w:hAnsi="Arial" w:hint="default"/>
      </w:rPr>
    </w:lvl>
    <w:lvl w:ilvl="4" w:tplc="F4E8FB12" w:tentative="1">
      <w:start w:val="1"/>
      <w:numFmt w:val="bullet"/>
      <w:lvlText w:val="•"/>
      <w:lvlJc w:val="left"/>
      <w:pPr>
        <w:tabs>
          <w:tab w:val="num" w:pos="3600"/>
        </w:tabs>
        <w:ind w:left="3600" w:hanging="360"/>
      </w:pPr>
      <w:rPr>
        <w:rFonts w:ascii="Arial" w:hAnsi="Arial" w:hint="default"/>
      </w:rPr>
    </w:lvl>
    <w:lvl w:ilvl="5" w:tplc="960CC840" w:tentative="1">
      <w:start w:val="1"/>
      <w:numFmt w:val="bullet"/>
      <w:lvlText w:val="•"/>
      <w:lvlJc w:val="left"/>
      <w:pPr>
        <w:tabs>
          <w:tab w:val="num" w:pos="4320"/>
        </w:tabs>
        <w:ind w:left="4320" w:hanging="360"/>
      </w:pPr>
      <w:rPr>
        <w:rFonts w:ascii="Arial" w:hAnsi="Arial" w:hint="default"/>
      </w:rPr>
    </w:lvl>
    <w:lvl w:ilvl="6" w:tplc="B9EE5A8A" w:tentative="1">
      <w:start w:val="1"/>
      <w:numFmt w:val="bullet"/>
      <w:lvlText w:val="•"/>
      <w:lvlJc w:val="left"/>
      <w:pPr>
        <w:tabs>
          <w:tab w:val="num" w:pos="5040"/>
        </w:tabs>
        <w:ind w:left="5040" w:hanging="360"/>
      </w:pPr>
      <w:rPr>
        <w:rFonts w:ascii="Arial" w:hAnsi="Arial" w:hint="default"/>
      </w:rPr>
    </w:lvl>
    <w:lvl w:ilvl="7" w:tplc="DB387608" w:tentative="1">
      <w:start w:val="1"/>
      <w:numFmt w:val="bullet"/>
      <w:lvlText w:val="•"/>
      <w:lvlJc w:val="left"/>
      <w:pPr>
        <w:tabs>
          <w:tab w:val="num" w:pos="5760"/>
        </w:tabs>
        <w:ind w:left="5760" w:hanging="360"/>
      </w:pPr>
      <w:rPr>
        <w:rFonts w:ascii="Arial" w:hAnsi="Arial" w:hint="default"/>
      </w:rPr>
    </w:lvl>
    <w:lvl w:ilvl="8" w:tplc="7EBA22D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26649D2"/>
    <w:multiLevelType w:val="hybridMultilevel"/>
    <w:tmpl w:val="41304DC0"/>
    <w:lvl w:ilvl="0" w:tplc="B1BE6CB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586E17"/>
    <w:multiLevelType w:val="hybridMultilevel"/>
    <w:tmpl w:val="4D2030F2"/>
    <w:lvl w:ilvl="0" w:tplc="150CB5AA">
      <w:start w:val="1"/>
      <w:numFmt w:val="bullet"/>
      <w:lvlText w:val="•"/>
      <w:lvlJc w:val="left"/>
      <w:pPr>
        <w:tabs>
          <w:tab w:val="num" w:pos="720"/>
        </w:tabs>
        <w:ind w:left="720" w:hanging="360"/>
      </w:pPr>
      <w:rPr>
        <w:rFonts w:ascii="Arial" w:hAnsi="Arial" w:hint="default"/>
      </w:rPr>
    </w:lvl>
    <w:lvl w:ilvl="1" w:tplc="C11CD11A">
      <w:start w:val="1"/>
      <w:numFmt w:val="bullet"/>
      <w:lvlText w:val="•"/>
      <w:lvlJc w:val="left"/>
      <w:pPr>
        <w:tabs>
          <w:tab w:val="num" w:pos="1440"/>
        </w:tabs>
        <w:ind w:left="1440" w:hanging="360"/>
      </w:pPr>
      <w:rPr>
        <w:rFonts w:ascii="Arial" w:hAnsi="Arial" w:hint="default"/>
      </w:rPr>
    </w:lvl>
    <w:lvl w:ilvl="2" w:tplc="4A60D100" w:tentative="1">
      <w:start w:val="1"/>
      <w:numFmt w:val="bullet"/>
      <w:lvlText w:val="•"/>
      <w:lvlJc w:val="left"/>
      <w:pPr>
        <w:tabs>
          <w:tab w:val="num" w:pos="2160"/>
        </w:tabs>
        <w:ind w:left="2160" w:hanging="360"/>
      </w:pPr>
      <w:rPr>
        <w:rFonts w:ascii="Arial" w:hAnsi="Arial" w:hint="default"/>
      </w:rPr>
    </w:lvl>
    <w:lvl w:ilvl="3" w:tplc="9B3E2DA8" w:tentative="1">
      <w:start w:val="1"/>
      <w:numFmt w:val="bullet"/>
      <w:lvlText w:val="•"/>
      <w:lvlJc w:val="left"/>
      <w:pPr>
        <w:tabs>
          <w:tab w:val="num" w:pos="2880"/>
        </w:tabs>
        <w:ind w:left="2880" w:hanging="360"/>
      </w:pPr>
      <w:rPr>
        <w:rFonts w:ascii="Arial" w:hAnsi="Arial" w:hint="default"/>
      </w:rPr>
    </w:lvl>
    <w:lvl w:ilvl="4" w:tplc="0A1E92C0" w:tentative="1">
      <w:start w:val="1"/>
      <w:numFmt w:val="bullet"/>
      <w:lvlText w:val="•"/>
      <w:lvlJc w:val="left"/>
      <w:pPr>
        <w:tabs>
          <w:tab w:val="num" w:pos="3600"/>
        </w:tabs>
        <w:ind w:left="3600" w:hanging="360"/>
      </w:pPr>
      <w:rPr>
        <w:rFonts w:ascii="Arial" w:hAnsi="Arial" w:hint="default"/>
      </w:rPr>
    </w:lvl>
    <w:lvl w:ilvl="5" w:tplc="5336D192" w:tentative="1">
      <w:start w:val="1"/>
      <w:numFmt w:val="bullet"/>
      <w:lvlText w:val="•"/>
      <w:lvlJc w:val="left"/>
      <w:pPr>
        <w:tabs>
          <w:tab w:val="num" w:pos="4320"/>
        </w:tabs>
        <w:ind w:left="4320" w:hanging="360"/>
      </w:pPr>
      <w:rPr>
        <w:rFonts w:ascii="Arial" w:hAnsi="Arial" w:hint="default"/>
      </w:rPr>
    </w:lvl>
    <w:lvl w:ilvl="6" w:tplc="58064F78" w:tentative="1">
      <w:start w:val="1"/>
      <w:numFmt w:val="bullet"/>
      <w:lvlText w:val="•"/>
      <w:lvlJc w:val="left"/>
      <w:pPr>
        <w:tabs>
          <w:tab w:val="num" w:pos="5040"/>
        </w:tabs>
        <w:ind w:left="5040" w:hanging="360"/>
      </w:pPr>
      <w:rPr>
        <w:rFonts w:ascii="Arial" w:hAnsi="Arial" w:hint="default"/>
      </w:rPr>
    </w:lvl>
    <w:lvl w:ilvl="7" w:tplc="02FA6A14" w:tentative="1">
      <w:start w:val="1"/>
      <w:numFmt w:val="bullet"/>
      <w:lvlText w:val="•"/>
      <w:lvlJc w:val="left"/>
      <w:pPr>
        <w:tabs>
          <w:tab w:val="num" w:pos="5760"/>
        </w:tabs>
        <w:ind w:left="5760" w:hanging="360"/>
      </w:pPr>
      <w:rPr>
        <w:rFonts w:ascii="Arial" w:hAnsi="Arial" w:hint="default"/>
      </w:rPr>
    </w:lvl>
    <w:lvl w:ilvl="8" w:tplc="DA92BDA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5" w15:restartNumberingAfterBreak="0">
    <w:nsid w:val="5E11715C"/>
    <w:multiLevelType w:val="hybridMultilevel"/>
    <w:tmpl w:val="611247B2"/>
    <w:lvl w:ilvl="0" w:tplc="DDFCC256">
      <w:start w:val="1"/>
      <w:numFmt w:val="bullet"/>
      <w:lvlText w:val="•"/>
      <w:lvlJc w:val="left"/>
      <w:pPr>
        <w:tabs>
          <w:tab w:val="num" w:pos="720"/>
        </w:tabs>
        <w:ind w:left="720" w:hanging="360"/>
      </w:pPr>
      <w:rPr>
        <w:rFonts w:ascii="Arial" w:hAnsi="Arial" w:hint="default"/>
      </w:rPr>
    </w:lvl>
    <w:lvl w:ilvl="1" w:tplc="F4F27DEA">
      <w:numFmt w:val="bullet"/>
      <w:lvlText w:val="•"/>
      <w:lvlJc w:val="left"/>
      <w:pPr>
        <w:tabs>
          <w:tab w:val="num" w:pos="1440"/>
        </w:tabs>
        <w:ind w:left="1440" w:hanging="360"/>
      </w:pPr>
      <w:rPr>
        <w:rFonts w:ascii="Arial" w:hAnsi="Arial" w:hint="default"/>
      </w:rPr>
    </w:lvl>
    <w:lvl w:ilvl="2" w:tplc="DDD4C032" w:tentative="1">
      <w:start w:val="1"/>
      <w:numFmt w:val="bullet"/>
      <w:lvlText w:val="•"/>
      <w:lvlJc w:val="left"/>
      <w:pPr>
        <w:tabs>
          <w:tab w:val="num" w:pos="2160"/>
        </w:tabs>
        <w:ind w:left="2160" w:hanging="360"/>
      </w:pPr>
      <w:rPr>
        <w:rFonts w:ascii="Arial" w:hAnsi="Arial" w:hint="default"/>
      </w:rPr>
    </w:lvl>
    <w:lvl w:ilvl="3" w:tplc="B1686DAE" w:tentative="1">
      <w:start w:val="1"/>
      <w:numFmt w:val="bullet"/>
      <w:lvlText w:val="•"/>
      <w:lvlJc w:val="left"/>
      <w:pPr>
        <w:tabs>
          <w:tab w:val="num" w:pos="2880"/>
        </w:tabs>
        <w:ind w:left="2880" w:hanging="360"/>
      </w:pPr>
      <w:rPr>
        <w:rFonts w:ascii="Arial" w:hAnsi="Arial" w:hint="default"/>
      </w:rPr>
    </w:lvl>
    <w:lvl w:ilvl="4" w:tplc="3416883E" w:tentative="1">
      <w:start w:val="1"/>
      <w:numFmt w:val="bullet"/>
      <w:lvlText w:val="•"/>
      <w:lvlJc w:val="left"/>
      <w:pPr>
        <w:tabs>
          <w:tab w:val="num" w:pos="3600"/>
        </w:tabs>
        <w:ind w:left="3600" w:hanging="360"/>
      </w:pPr>
      <w:rPr>
        <w:rFonts w:ascii="Arial" w:hAnsi="Arial" w:hint="default"/>
      </w:rPr>
    </w:lvl>
    <w:lvl w:ilvl="5" w:tplc="16C85CA0" w:tentative="1">
      <w:start w:val="1"/>
      <w:numFmt w:val="bullet"/>
      <w:lvlText w:val="•"/>
      <w:lvlJc w:val="left"/>
      <w:pPr>
        <w:tabs>
          <w:tab w:val="num" w:pos="4320"/>
        </w:tabs>
        <w:ind w:left="4320" w:hanging="360"/>
      </w:pPr>
      <w:rPr>
        <w:rFonts w:ascii="Arial" w:hAnsi="Arial" w:hint="default"/>
      </w:rPr>
    </w:lvl>
    <w:lvl w:ilvl="6" w:tplc="DDDE1736" w:tentative="1">
      <w:start w:val="1"/>
      <w:numFmt w:val="bullet"/>
      <w:lvlText w:val="•"/>
      <w:lvlJc w:val="left"/>
      <w:pPr>
        <w:tabs>
          <w:tab w:val="num" w:pos="5040"/>
        </w:tabs>
        <w:ind w:left="5040" w:hanging="360"/>
      </w:pPr>
      <w:rPr>
        <w:rFonts w:ascii="Arial" w:hAnsi="Arial" w:hint="default"/>
      </w:rPr>
    </w:lvl>
    <w:lvl w:ilvl="7" w:tplc="B5F63E7C" w:tentative="1">
      <w:start w:val="1"/>
      <w:numFmt w:val="bullet"/>
      <w:lvlText w:val="•"/>
      <w:lvlJc w:val="left"/>
      <w:pPr>
        <w:tabs>
          <w:tab w:val="num" w:pos="5760"/>
        </w:tabs>
        <w:ind w:left="5760" w:hanging="360"/>
      </w:pPr>
      <w:rPr>
        <w:rFonts w:ascii="Arial" w:hAnsi="Arial" w:hint="default"/>
      </w:rPr>
    </w:lvl>
    <w:lvl w:ilvl="8" w:tplc="843A41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9E254DD"/>
    <w:multiLevelType w:val="hybridMultilevel"/>
    <w:tmpl w:val="15407A16"/>
    <w:lvl w:ilvl="0" w:tplc="A6885B7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AE665A"/>
    <w:multiLevelType w:val="hybridMultilevel"/>
    <w:tmpl w:val="82CC74C0"/>
    <w:lvl w:ilvl="0" w:tplc="478AE29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56025C"/>
    <w:multiLevelType w:val="hybridMultilevel"/>
    <w:tmpl w:val="74041B0C"/>
    <w:lvl w:ilvl="0" w:tplc="05E46AD8">
      <w:start w:val="1"/>
      <w:numFmt w:val="bullet"/>
      <w:lvlText w:val="•"/>
      <w:lvlJc w:val="left"/>
      <w:pPr>
        <w:tabs>
          <w:tab w:val="num" w:pos="720"/>
        </w:tabs>
        <w:ind w:left="720" w:hanging="360"/>
      </w:pPr>
      <w:rPr>
        <w:rFonts w:ascii="Arial" w:hAnsi="Arial" w:hint="default"/>
      </w:rPr>
    </w:lvl>
    <w:lvl w:ilvl="1" w:tplc="675817A4" w:tentative="1">
      <w:start w:val="1"/>
      <w:numFmt w:val="bullet"/>
      <w:lvlText w:val="•"/>
      <w:lvlJc w:val="left"/>
      <w:pPr>
        <w:tabs>
          <w:tab w:val="num" w:pos="1440"/>
        </w:tabs>
        <w:ind w:left="1440" w:hanging="360"/>
      </w:pPr>
      <w:rPr>
        <w:rFonts w:ascii="Arial" w:hAnsi="Arial" w:hint="default"/>
      </w:rPr>
    </w:lvl>
    <w:lvl w:ilvl="2" w:tplc="586EEFB6" w:tentative="1">
      <w:start w:val="1"/>
      <w:numFmt w:val="bullet"/>
      <w:lvlText w:val="•"/>
      <w:lvlJc w:val="left"/>
      <w:pPr>
        <w:tabs>
          <w:tab w:val="num" w:pos="2160"/>
        </w:tabs>
        <w:ind w:left="2160" w:hanging="360"/>
      </w:pPr>
      <w:rPr>
        <w:rFonts w:ascii="Arial" w:hAnsi="Arial" w:hint="default"/>
      </w:rPr>
    </w:lvl>
    <w:lvl w:ilvl="3" w:tplc="C65C2B9E" w:tentative="1">
      <w:start w:val="1"/>
      <w:numFmt w:val="bullet"/>
      <w:lvlText w:val="•"/>
      <w:lvlJc w:val="left"/>
      <w:pPr>
        <w:tabs>
          <w:tab w:val="num" w:pos="2880"/>
        </w:tabs>
        <w:ind w:left="2880" w:hanging="360"/>
      </w:pPr>
      <w:rPr>
        <w:rFonts w:ascii="Arial" w:hAnsi="Arial" w:hint="default"/>
      </w:rPr>
    </w:lvl>
    <w:lvl w:ilvl="4" w:tplc="D21ACDFA" w:tentative="1">
      <w:start w:val="1"/>
      <w:numFmt w:val="bullet"/>
      <w:lvlText w:val="•"/>
      <w:lvlJc w:val="left"/>
      <w:pPr>
        <w:tabs>
          <w:tab w:val="num" w:pos="3600"/>
        </w:tabs>
        <w:ind w:left="3600" w:hanging="360"/>
      </w:pPr>
      <w:rPr>
        <w:rFonts w:ascii="Arial" w:hAnsi="Arial" w:hint="default"/>
      </w:rPr>
    </w:lvl>
    <w:lvl w:ilvl="5" w:tplc="96DE543E" w:tentative="1">
      <w:start w:val="1"/>
      <w:numFmt w:val="bullet"/>
      <w:lvlText w:val="•"/>
      <w:lvlJc w:val="left"/>
      <w:pPr>
        <w:tabs>
          <w:tab w:val="num" w:pos="4320"/>
        </w:tabs>
        <w:ind w:left="4320" w:hanging="360"/>
      </w:pPr>
      <w:rPr>
        <w:rFonts w:ascii="Arial" w:hAnsi="Arial" w:hint="default"/>
      </w:rPr>
    </w:lvl>
    <w:lvl w:ilvl="6" w:tplc="4EAEF110" w:tentative="1">
      <w:start w:val="1"/>
      <w:numFmt w:val="bullet"/>
      <w:lvlText w:val="•"/>
      <w:lvlJc w:val="left"/>
      <w:pPr>
        <w:tabs>
          <w:tab w:val="num" w:pos="5040"/>
        </w:tabs>
        <w:ind w:left="5040" w:hanging="360"/>
      </w:pPr>
      <w:rPr>
        <w:rFonts w:ascii="Arial" w:hAnsi="Arial" w:hint="default"/>
      </w:rPr>
    </w:lvl>
    <w:lvl w:ilvl="7" w:tplc="BDAC14EE" w:tentative="1">
      <w:start w:val="1"/>
      <w:numFmt w:val="bullet"/>
      <w:lvlText w:val="•"/>
      <w:lvlJc w:val="left"/>
      <w:pPr>
        <w:tabs>
          <w:tab w:val="num" w:pos="5760"/>
        </w:tabs>
        <w:ind w:left="5760" w:hanging="360"/>
      </w:pPr>
      <w:rPr>
        <w:rFonts w:ascii="Arial" w:hAnsi="Arial" w:hint="default"/>
      </w:rPr>
    </w:lvl>
    <w:lvl w:ilvl="8" w:tplc="75A269A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56625C0"/>
    <w:multiLevelType w:val="hybridMultilevel"/>
    <w:tmpl w:val="E228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01219A"/>
    <w:multiLevelType w:val="hybridMultilevel"/>
    <w:tmpl w:val="7FA8EC88"/>
    <w:lvl w:ilvl="0" w:tplc="1DD8439E">
      <w:start w:val="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583868"/>
    <w:multiLevelType w:val="hybridMultilevel"/>
    <w:tmpl w:val="3A8A24E4"/>
    <w:lvl w:ilvl="0" w:tplc="80E0AD20">
      <w:start w:val="1"/>
      <w:numFmt w:val="bullet"/>
      <w:lvlText w:val="–"/>
      <w:lvlJc w:val="left"/>
      <w:pPr>
        <w:tabs>
          <w:tab w:val="num" w:pos="720"/>
        </w:tabs>
        <w:ind w:left="720" w:hanging="360"/>
      </w:pPr>
      <w:rPr>
        <w:rFonts w:ascii="Arial" w:hAnsi="Arial" w:hint="default"/>
      </w:rPr>
    </w:lvl>
    <w:lvl w:ilvl="1" w:tplc="29B2DDBA">
      <w:start w:val="1"/>
      <w:numFmt w:val="bullet"/>
      <w:lvlText w:val="–"/>
      <w:lvlJc w:val="left"/>
      <w:pPr>
        <w:tabs>
          <w:tab w:val="num" w:pos="1440"/>
        </w:tabs>
        <w:ind w:left="1440" w:hanging="360"/>
      </w:pPr>
      <w:rPr>
        <w:rFonts w:ascii="Arial" w:hAnsi="Arial" w:hint="default"/>
      </w:rPr>
    </w:lvl>
    <w:lvl w:ilvl="2" w:tplc="BF300770">
      <w:start w:val="108"/>
      <w:numFmt w:val="bullet"/>
      <w:lvlText w:val="•"/>
      <w:lvlJc w:val="left"/>
      <w:pPr>
        <w:tabs>
          <w:tab w:val="num" w:pos="2160"/>
        </w:tabs>
        <w:ind w:left="2160" w:hanging="360"/>
      </w:pPr>
      <w:rPr>
        <w:rFonts w:ascii="Arial" w:hAnsi="Arial" w:hint="default"/>
      </w:rPr>
    </w:lvl>
    <w:lvl w:ilvl="3" w:tplc="B3C06576">
      <w:start w:val="108"/>
      <w:numFmt w:val="bullet"/>
      <w:lvlText w:val="–"/>
      <w:lvlJc w:val="left"/>
      <w:pPr>
        <w:tabs>
          <w:tab w:val="num" w:pos="2880"/>
        </w:tabs>
        <w:ind w:left="2880" w:hanging="360"/>
      </w:pPr>
      <w:rPr>
        <w:rFonts w:ascii="Arial" w:hAnsi="Arial" w:hint="default"/>
      </w:rPr>
    </w:lvl>
    <w:lvl w:ilvl="4" w:tplc="B86449C4" w:tentative="1">
      <w:start w:val="1"/>
      <w:numFmt w:val="bullet"/>
      <w:lvlText w:val="–"/>
      <w:lvlJc w:val="left"/>
      <w:pPr>
        <w:tabs>
          <w:tab w:val="num" w:pos="3600"/>
        </w:tabs>
        <w:ind w:left="3600" w:hanging="360"/>
      </w:pPr>
      <w:rPr>
        <w:rFonts w:ascii="Arial" w:hAnsi="Arial" w:hint="default"/>
      </w:rPr>
    </w:lvl>
    <w:lvl w:ilvl="5" w:tplc="469EAF3C" w:tentative="1">
      <w:start w:val="1"/>
      <w:numFmt w:val="bullet"/>
      <w:lvlText w:val="–"/>
      <w:lvlJc w:val="left"/>
      <w:pPr>
        <w:tabs>
          <w:tab w:val="num" w:pos="4320"/>
        </w:tabs>
        <w:ind w:left="4320" w:hanging="360"/>
      </w:pPr>
      <w:rPr>
        <w:rFonts w:ascii="Arial" w:hAnsi="Arial" w:hint="default"/>
      </w:rPr>
    </w:lvl>
    <w:lvl w:ilvl="6" w:tplc="3C90BAC8" w:tentative="1">
      <w:start w:val="1"/>
      <w:numFmt w:val="bullet"/>
      <w:lvlText w:val="–"/>
      <w:lvlJc w:val="left"/>
      <w:pPr>
        <w:tabs>
          <w:tab w:val="num" w:pos="5040"/>
        </w:tabs>
        <w:ind w:left="5040" w:hanging="360"/>
      </w:pPr>
      <w:rPr>
        <w:rFonts w:ascii="Arial" w:hAnsi="Arial" w:hint="default"/>
      </w:rPr>
    </w:lvl>
    <w:lvl w:ilvl="7" w:tplc="1D245FBE" w:tentative="1">
      <w:start w:val="1"/>
      <w:numFmt w:val="bullet"/>
      <w:lvlText w:val="–"/>
      <w:lvlJc w:val="left"/>
      <w:pPr>
        <w:tabs>
          <w:tab w:val="num" w:pos="5760"/>
        </w:tabs>
        <w:ind w:left="5760" w:hanging="360"/>
      </w:pPr>
      <w:rPr>
        <w:rFonts w:ascii="Arial" w:hAnsi="Arial" w:hint="default"/>
      </w:rPr>
    </w:lvl>
    <w:lvl w:ilvl="8" w:tplc="6BEA655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25"/>
    <w:lvlOverride w:ilvl="0">
      <w:startOverride w:val="1"/>
    </w:lvlOverride>
    <w:lvlOverride w:ilvl="1"/>
    <w:lvlOverride w:ilvl="2"/>
    <w:lvlOverride w:ilvl="3"/>
    <w:lvlOverride w:ilvl="4"/>
    <w:lvlOverride w:ilvl="5"/>
    <w:lvlOverride w:ilvl="6"/>
    <w:lvlOverride w:ilvl="7"/>
    <w:lvlOverride w:ilvl="8"/>
  </w:num>
  <w:num w:numId="6">
    <w:abstractNumId w:val="13"/>
  </w:num>
  <w:num w:numId="7">
    <w:abstractNumId w:val="5"/>
  </w:num>
  <w:num w:numId="8">
    <w:abstractNumId w:val="32"/>
  </w:num>
  <w:num w:numId="9">
    <w:abstractNumId w:val="10"/>
  </w:num>
  <w:num w:numId="10">
    <w:abstractNumId w:val="23"/>
  </w:num>
  <w:num w:numId="11">
    <w:abstractNumId w:val="9"/>
  </w:num>
  <w:num w:numId="12">
    <w:abstractNumId w:val="42"/>
  </w:num>
  <w:num w:numId="13">
    <w:abstractNumId w:val="32"/>
  </w:num>
  <w:num w:numId="14">
    <w:abstractNumId w:val="43"/>
  </w:num>
  <w:num w:numId="15">
    <w:abstractNumId w:val="26"/>
  </w:num>
  <w:num w:numId="16">
    <w:abstractNumId w:val="28"/>
  </w:num>
  <w:num w:numId="17">
    <w:abstractNumId w:val="27"/>
  </w:num>
  <w:num w:numId="18">
    <w:abstractNumId w:val="11"/>
  </w:num>
  <w:num w:numId="19">
    <w:abstractNumId w:val="22"/>
  </w:num>
  <w:num w:numId="20">
    <w:abstractNumId w:val="34"/>
  </w:num>
  <w:num w:numId="21">
    <w:abstractNumId w:val="17"/>
  </w:num>
  <w:num w:numId="22">
    <w:abstractNumId w:val="15"/>
  </w:num>
  <w:num w:numId="23">
    <w:abstractNumId w:val="38"/>
  </w:num>
  <w:num w:numId="24">
    <w:abstractNumId w:val="36"/>
  </w:num>
  <w:num w:numId="25">
    <w:abstractNumId w:val="21"/>
  </w:num>
  <w:num w:numId="26">
    <w:abstractNumId w:val="29"/>
  </w:num>
  <w:num w:numId="27">
    <w:abstractNumId w:val="41"/>
  </w:num>
  <w:num w:numId="28">
    <w:abstractNumId w:val="45"/>
  </w:num>
  <w:num w:numId="29">
    <w:abstractNumId w:val="16"/>
  </w:num>
  <w:num w:numId="30">
    <w:abstractNumId w:val="4"/>
  </w:num>
  <w:num w:numId="31">
    <w:abstractNumId w:val="2"/>
  </w:num>
  <w:num w:numId="32">
    <w:abstractNumId w:val="18"/>
  </w:num>
  <w:num w:numId="33">
    <w:abstractNumId w:val="40"/>
  </w:num>
  <w:num w:numId="34">
    <w:abstractNumId w:val="7"/>
  </w:num>
  <w:num w:numId="35">
    <w:abstractNumId w:val="30"/>
  </w:num>
  <w:num w:numId="36">
    <w:abstractNumId w:val="3"/>
  </w:num>
  <w:num w:numId="37">
    <w:abstractNumId w:val="8"/>
  </w:num>
  <w:num w:numId="38">
    <w:abstractNumId w:val="6"/>
  </w:num>
  <w:num w:numId="39">
    <w:abstractNumId w:val="12"/>
  </w:num>
  <w:num w:numId="40">
    <w:abstractNumId w:val="14"/>
  </w:num>
  <w:num w:numId="41">
    <w:abstractNumId w:val="37"/>
  </w:num>
  <w:num w:numId="42">
    <w:abstractNumId w:val="39"/>
  </w:num>
  <w:num w:numId="43">
    <w:abstractNumId w:val="44"/>
  </w:num>
  <w:num w:numId="44">
    <w:abstractNumId w:val="19"/>
  </w:num>
  <w:num w:numId="45">
    <w:abstractNumId w:val="33"/>
  </w:num>
  <w:num w:numId="46">
    <w:abstractNumId w:val="24"/>
  </w:num>
  <w:num w:numId="47">
    <w:abstractNumId w:val="35"/>
  </w:num>
  <w:num w:numId="4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3550"/>
    <w:rsid w:val="00003938"/>
    <w:rsid w:val="0000461F"/>
    <w:rsid w:val="00004B06"/>
    <w:rsid w:val="00004ECE"/>
    <w:rsid w:val="00006B72"/>
    <w:rsid w:val="0001145D"/>
    <w:rsid w:val="000148B6"/>
    <w:rsid w:val="00016774"/>
    <w:rsid w:val="00016F68"/>
    <w:rsid w:val="00017313"/>
    <w:rsid w:val="00017514"/>
    <w:rsid w:val="000262DA"/>
    <w:rsid w:val="00026DB4"/>
    <w:rsid w:val="000300D0"/>
    <w:rsid w:val="000305C8"/>
    <w:rsid w:val="00030689"/>
    <w:rsid w:val="000320BB"/>
    <w:rsid w:val="00033397"/>
    <w:rsid w:val="00035756"/>
    <w:rsid w:val="000365B5"/>
    <w:rsid w:val="00040095"/>
    <w:rsid w:val="00041B41"/>
    <w:rsid w:val="000421A3"/>
    <w:rsid w:val="000444F6"/>
    <w:rsid w:val="00045774"/>
    <w:rsid w:val="00050232"/>
    <w:rsid w:val="00050EB8"/>
    <w:rsid w:val="0005307C"/>
    <w:rsid w:val="00053614"/>
    <w:rsid w:val="0006082C"/>
    <w:rsid w:val="000667FA"/>
    <w:rsid w:val="000669F3"/>
    <w:rsid w:val="00071628"/>
    <w:rsid w:val="00071FFA"/>
    <w:rsid w:val="000720D3"/>
    <w:rsid w:val="000721A4"/>
    <w:rsid w:val="00073190"/>
    <w:rsid w:val="00073E26"/>
    <w:rsid w:val="0007527A"/>
    <w:rsid w:val="000802D7"/>
    <w:rsid w:val="00080512"/>
    <w:rsid w:val="0008057C"/>
    <w:rsid w:val="00081167"/>
    <w:rsid w:val="0008163D"/>
    <w:rsid w:val="00082916"/>
    <w:rsid w:val="000830B8"/>
    <w:rsid w:val="00090468"/>
    <w:rsid w:val="00091B51"/>
    <w:rsid w:val="00091E84"/>
    <w:rsid w:val="00092463"/>
    <w:rsid w:val="00094D4B"/>
    <w:rsid w:val="00094F90"/>
    <w:rsid w:val="00097704"/>
    <w:rsid w:val="000A1A7C"/>
    <w:rsid w:val="000A1C87"/>
    <w:rsid w:val="000A1E59"/>
    <w:rsid w:val="000A2C15"/>
    <w:rsid w:val="000A4929"/>
    <w:rsid w:val="000A66CF"/>
    <w:rsid w:val="000A7975"/>
    <w:rsid w:val="000B120E"/>
    <w:rsid w:val="000B255E"/>
    <w:rsid w:val="000B2938"/>
    <w:rsid w:val="000B6232"/>
    <w:rsid w:val="000B6309"/>
    <w:rsid w:val="000B7BCF"/>
    <w:rsid w:val="000B7D29"/>
    <w:rsid w:val="000C02E7"/>
    <w:rsid w:val="000C250C"/>
    <w:rsid w:val="000C27B8"/>
    <w:rsid w:val="000C31D6"/>
    <w:rsid w:val="000C3813"/>
    <w:rsid w:val="000C391A"/>
    <w:rsid w:val="000C522B"/>
    <w:rsid w:val="000C5373"/>
    <w:rsid w:val="000D1214"/>
    <w:rsid w:val="000D4E52"/>
    <w:rsid w:val="000D58AB"/>
    <w:rsid w:val="000D64D4"/>
    <w:rsid w:val="000D771B"/>
    <w:rsid w:val="000E07E9"/>
    <w:rsid w:val="000E2FD4"/>
    <w:rsid w:val="000E6EF7"/>
    <w:rsid w:val="000F2447"/>
    <w:rsid w:val="000F3E87"/>
    <w:rsid w:val="000F583D"/>
    <w:rsid w:val="000F68D9"/>
    <w:rsid w:val="000F6952"/>
    <w:rsid w:val="000F7070"/>
    <w:rsid w:val="0010023C"/>
    <w:rsid w:val="001009F6"/>
    <w:rsid w:val="00102724"/>
    <w:rsid w:val="00103E62"/>
    <w:rsid w:val="00105C1B"/>
    <w:rsid w:val="00107DBB"/>
    <w:rsid w:val="001165C0"/>
    <w:rsid w:val="001179A0"/>
    <w:rsid w:val="00117E0B"/>
    <w:rsid w:val="001338CF"/>
    <w:rsid w:val="00134582"/>
    <w:rsid w:val="00135404"/>
    <w:rsid w:val="00141C5A"/>
    <w:rsid w:val="001424ED"/>
    <w:rsid w:val="0014447F"/>
    <w:rsid w:val="001474B0"/>
    <w:rsid w:val="00147B64"/>
    <w:rsid w:val="001509A1"/>
    <w:rsid w:val="00156982"/>
    <w:rsid w:val="00166B07"/>
    <w:rsid w:val="00167BAB"/>
    <w:rsid w:val="00171463"/>
    <w:rsid w:val="00172D1A"/>
    <w:rsid w:val="001741A0"/>
    <w:rsid w:val="001754BD"/>
    <w:rsid w:val="00175840"/>
    <w:rsid w:val="00175B87"/>
    <w:rsid w:val="00175F35"/>
    <w:rsid w:val="00176919"/>
    <w:rsid w:val="00176AB1"/>
    <w:rsid w:val="00176E94"/>
    <w:rsid w:val="0018168F"/>
    <w:rsid w:val="0018288D"/>
    <w:rsid w:val="00183379"/>
    <w:rsid w:val="00183421"/>
    <w:rsid w:val="001842C2"/>
    <w:rsid w:val="00184951"/>
    <w:rsid w:val="00184C1C"/>
    <w:rsid w:val="0018583D"/>
    <w:rsid w:val="001863F5"/>
    <w:rsid w:val="00190EF7"/>
    <w:rsid w:val="001932F8"/>
    <w:rsid w:val="00194CD0"/>
    <w:rsid w:val="00194E93"/>
    <w:rsid w:val="00196498"/>
    <w:rsid w:val="001965CA"/>
    <w:rsid w:val="001A09FD"/>
    <w:rsid w:val="001A15E0"/>
    <w:rsid w:val="001A2A06"/>
    <w:rsid w:val="001A4238"/>
    <w:rsid w:val="001A4F33"/>
    <w:rsid w:val="001A6B9B"/>
    <w:rsid w:val="001B0809"/>
    <w:rsid w:val="001B1CB0"/>
    <w:rsid w:val="001B20C0"/>
    <w:rsid w:val="001B49C9"/>
    <w:rsid w:val="001B53E9"/>
    <w:rsid w:val="001B7DA9"/>
    <w:rsid w:val="001C26F1"/>
    <w:rsid w:val="001C3C05"/>
    <w:rsid w:val="001C451C"/>
    <w:rsid w:val="001C5CCF"/>
    <w:rsid w:val="001C75B0"/>
    <w:rsid w:val="001D2D88"/>
    <w:rsid w:val="001D3B44"/>
    <w:rsid w:val="001D3BFF"/>
    <w:rsid w:val="001D662B"/>
    <w:rsid w:val="001D68E2"/>
    <w:rsid w:val="001E30A4"/>
    <w:rsid w:val="001E3B2D"/>
    <w:rsid w:val="001E4F99"/>
    <w:rsid w:val="001E52C4"/>
    <w:rsid w:val="001E5E16"/>
    <w:rsid w:val="001E7664"/>
    <w:rsid w:val="001F168B"/>
    <w:rsid w:val="001F26FF"/>
    <w:rsid w:val="001F340A"/>
    <w:rsid w:val="001F36CE"/>
    <w:rsid w:val="001F4B39"/>
    <w:rsid w:val="001F643B"/>
    <w:rsid w:val="001F660A"/>
    <w:rsid w:val="001F6890"/>
    <w:rsid w:val="001F7831"/>
    <w:rsid w:val="00200C50"/>
    <w:rsid w:val="00201C2F"/>
    <w:rsid w:val="00203F79"/>
    <w:rsid w:val="00204045"/>
    <w:rsid w:val="00206AB7"/>
    <w:rsid w:val="00211D93"/>
    <w:rsid w:val="002125B7"/>
    <w:rsid w:val="00214470"/>
    <w:rsid w:val="0021475B"/>
    <w:rsid w:val="0021621E"/>
    <w:rsid w:val="00216DE9"/>
    <w:rsid w:val="00217539"/>
    <w:rsid w:val="00220A33"/>
    <w:rsid w:val="002220DD"/>
    <w:rsid w:val="002223F5"/>
    <w:rsid w:val="00223DC5"/>
    <w:rsid w:val="0022606D"/>
    <w:rsid w:val="00231A53"/>
    <w:rsid w:val="00231A80"/>
    <w:rsid w:val="00234E78"/>
    <w:rsid w:val="00236105"/>
    <w:rsid w:val="00240D5B"/>
    <w:rsid w:val="00241B8E"/>
    <w:rsid w:val="002432E9"/>
    <w:rsid w:val="00243FBF"/>
    <w:rsid w:val="00245034"/>
    <w:rsid w:val="0025167B"/>
    <w:rsid w:val="002519DA"/>
    <w:rsid w:val="00256F2C"/>
    <w:rsid w:val="002605EF"/>
    <w:rsid w:val="00261F2C"/>
    <w:rsid w:val="00263A6D"/>
    <w:rsid w:val="002710CA"/>
    <w:rsid w:val="002713CD"/>
    <w:rsid w:val="0027345D"/>
    <w:rsid w:val="00273999"/>
    <w:rsid w:val="00273A62"/>
    <w:rsid w:val="00274706"/>
    <w:rsid w:val="002747EC"/>
    <w:rsid w:val="00276371"/>
    <w:rsid w:val="00283F97"/>
    <w:rsid w:val="00284494"/>
    <w:rsid w:val="002845F1"/>
    <w:rsid w:val="002855BF"/>
    <w:rsid w:val="0028563D"/>
    <w:rsid w:val="0028663D"/>
    <w:rsid w:val="00290BB8"/>
    <w:rsid w:val="002911D6"/>
    <w:rsid w:val="002949B1"/>
    <w:rsid w:val="00295868"/>
    <w:rsid w:val="002B0F75"/>
    <w:rsid w:val="002B5DDB"/>
    <w:rsid w:val="002C1A15"/>
    <w:rsid w:val="002C1E0D"/>
    <w:rsid w:val="002C52AF"/>
    <w:rsid w:val="002C614A"/>
    <w:rsid w:val="002C7FDB"/>
    <w:rsid w:val="002D09FC"/>
    <w:rsid w:val="002D3281"/>
    <w:rsid w:val="002D3588"/>
    <w:rsid w:val="002D77A7"/>
    <w:rsid w:val="002F0779"/>
    <w:rsid w:val="002F0D22"/>
    <w:rsid w:val="002F23D8"/>
    <w:rsid w:val="002F5187"/>
    <w:rsid w:val="002F6E4D"/>
    <w:rsid w:val="0030003D"/>
    <w:rsid w:val="00302585"/>
    <w:rsid w:val="00304A8D"/>
    <w:rsid w:val="003066F3"/>
    <w:rsid w:val="00307A39"/>
    <w:rsid w:val="00312AAD"/>
    <w:rsid w:val="003147BA"/>
    <w:rsid w:val="00314F3A"/>
    <w:rsid w:val="00315572"/>
    <w:rsid w:val="00316195"/>
    <w:rsid w:val="003161B4"/>
    <w:rsid w:val="003172DC"/>
    <w:rsid w:val="003226A8"/>
    <w:rsid w:val="00322FA8"/>
    <w:rsid w:val="00323AE7"/>
    <w:rsid w:val="00325B90"/>
    <w:rsid w:val="00326069"/>
    <w:rsid w:val="00326746"/>
    <w:rsid w:val="00326F85"/>
    <w:rsid w:val="00330F1F"/>
    <w:rsid w:val="003322F2"/>
    <w:rsid w:val="003341A9"/>
    <w:rsid w:val="0034053B"/>
    <w:rsid w:val="003442E1"/>
    <w:rsid w:val="00351C31"/>
    <w:rsid w:val="00352D97"/>
    <w:rsid w:val="00353CC9"/>
    <w:rsid w:val="0035462D"/>
    <w:rsid w:val="00356B6C"/>
    <w:rsid w:val="0035791B"/>
    <w:rsid w:val="00357FD7"/>
    <w:rsid w:val="00360229"/>
    <w:rsid w:val="00361383"/>
    <w:rsid w:val="00365FF9"/>
    <w:rsid w:val="00367759"/>
    <w:rsid w:val="0036776D"/>
    <w:rsid w:val="00370277"/>
    <w:rsid w:val="0037324E"/>
    <w:rsid w:val="00373801"/>
    <w:rsid w:val="00375DC4"/>
    <w:rsid w:val="00376ABD"/>
    <w:rsid w:val="003806CC"/>
    <w:rsid w:val="003831FA"/>
    <w:rsid w:val="00384421"/>
    <w:rsid w:val="00390123"/>
    <w:rsid w:val="0039016B"/>
    <w:rsid w:val="00391F3E"/>
    <w:rsid w:val="00394576"/>
    <w:rsid w:val="003A0B9A"/>
    <w:rsid w:val="003A0E57"/>
    <w:rsid w:val="003A4E98"/>
    <w:rsid w:val="003A5A3E"/>
    <w:rsid w:val="003A6548"/>
    <w:rsid w:val="003B0D89"/>
    <w:rsid w:val="003B1B28"/>
    <w:rsid w:val="003B237C"/>
    <w:rsid w:val="003B5C33"/>
    <w:rsid w:val="003B623A"/>
    <w:rsid w:val="003C0494"/>
    <w:rsid w:val="003C0D48"/>
    <w:rsid w:val="003C21BD"/>
    <w:rsid w:val="003C3187"/>
    <w:rsid w:val="003C3F24"/>
    <w:rsid w:val="003C424A"/>
    <w:rsid w:val="003C4E37"/>
    <w:rsid w:val="003D00EE"/>
    <w:rsid w:val="003D2698"/>
    <w:rsid w:val="003D403D"/>
    <w:rsid w:val="003D404A"/>
    <w:rsid w:val="003D53E9"/>
    <w:rsid w:val="003D5D0B"/>
    <w:rsid w:val="003D6E96"/>
    <w:rsid w:val="003D701A"/>
    <w:rsid w:val="003E16BE"/>
    <w:rsid w:val="003E42C7"/>
    <w:rsid w:val="003E489F"/>
    <w:rsid w:val="003E648B"/>
    <w:rsid w:val="003E6A5A"/>
    <w:rsid w:val="003F2EBC"/>
    <w:rsid w:val="003F314D"/>
    <w:rsid w:val="003F3EE6"/>
    <w:rsid w:val="003F4691"/>
    <w:rsid w:val="00401855"/>
    <w:rsid w:val="00401B96"/>
    <w:rsid w:val="0040324D"/>
    <w:rsid w:val="004066C0"/>
    <w:rsid w:val="00414F32"/>
    <w:rsid w:val="00416806"/>
    <w:rsid w:val="00417090"/>
    <w:rsid w:val="00417B33"/>
    <w:rsid w:val="004243A0"/>
    <w:rsid w:val="00424666"/>
    <w:rsid w:val="004264F7"/>
    <w:rsid w:val="0043021C"/>
    <w:rsid w:val="004316F5"/>
    <w:rsid w:val="00432EA4"/>
    <w:rsid w:val="004333E6"/>
    <w:rsid w:val="004337BD"/>
    <w:rsid w:val="00434044"/>
    <w:rsid w:val="004353C8"/>
    <w:rsid w:val="00436462"/>
    <w:rsid w:val="00442675"/>
    <w:rsid w:val="00442797"/>
    <w:rsid w:val="00444409"/>
    <w:rsid w:val="00445319"/>
    <w:rsid w:val="00445AB5"/>
    <w:rsid w:val="00450E27"/>
    <w:rsid w:val="00451022"/>
    <w:rsid w:val="00452DFC"/>
    <w:rsid w:val="0045347A"/>
    <w:rsid w:val="004551C1"/>
    <w:rsid w:val="0045647C"/>
    <w:rsid w:val="00464F3F"/>
    <w:rsid w:val="00466118"/>
    <w:rsid w:val="00467F50"/>
    <w:rsid w:val="00473DDB"/>
    <w:rsid w:val="00476542"/>
    <w:rsid w:val="00477455"/>
    <w:rsid w:val="00481014"/>
    <w:rsid w:val="004813D0"/>
    <w:rsid w:val="004819E2"/>
    <w:rsid w:val="00482066"/>
    <w:rsid w:val="004820E3"/>
    <w:rsid w:val="0048229C"/>
    <w:rsid w:val="004833DE"/>
    <w:rsid w:val="0048562F"/>
    <w:rsid w:val="004870DE"/>
    <w:rsid w:val="004874FB"/>
    <w:rsid w:val="0049353A"/>
    <w:rsid w:val="004949CD"/>
    <w:rsid w:val="004A0324"/>
    <w:rsid w:val="004A1806"/>
    <w:rsid w:val="004A20E8"/>
    <w:rsid w:val="004A26DA"/>
    <w:rsid w:val="004A3060"/>
    <w:rsid w:val="004A4285"/>
    <w:rsid w:val="004A51E7"/>
    <w:rsid w:val="004A56F5"/>
    <w:rsid w:val="004A6695"/>
    <w:rsid w:val="004A7509"/>
    <w:rsid w:val="004B01F8"/>
    <w:rsid w:val="004B05D7"/>
    <w:rsid w:val="004B0867"/>
    <w:rsid w:val="004B1DE0"/>
    <w:rsid w:val="004B3157"/>
    <w:rsid w:val="004B3CD3"/>
    <w:rsid w:val="004B4FB4"/>
    <w:rsid w:val="004C0152"/>
    <w:rsid w:val="004C4287"/>
    <w:rsid w:val="004C42FF"/>
    <w:rsid w:val="004D1003"/>
    <w:rsid w:val="004D19ED"/>
    <w:rsid w:val="004D2FAA"/>
    <w:rsid w:val="004D3578"/>
    <w:rsid w:val="004D380D"/>
    <w:rsid w:val="004D5E3E"/>
    <w:rsid w:val="004E213A"/>
    <w:rsid w:val="004E3459"/>
    <w:rsid w:val="004E7EFC"/>
    <w:rsid w:val="004F5AB8"/>
    <w:rsid w:val="00500679"/>
    <w:rsid w:val="005011D6"/>
    <w:rsid w:val="00503171"/>
    <w:rsid w:val="005050ED"/>
    <w:rsid w:val="00506060"/>
    <w:rsid w:val="00507AF5"/>
    <w:rsid w:val="00507EF5"/>
    <w:rsid w:val="00512082"/>
    <w:rsid w:val="0051369E"/>
    <w:rsid w:val="0051469E"/>
    <w:rsid w:val="005151D2"/>
    <w:rsid w:val="005252D5"/>
    <w:rsid w:val="0053272E"/>
    <w:rsid w:val="00533BAF"/>
    <w:rsid w:val="00534DA0"/>
    <w:rsid w:val="00536EFE"/>
    <w:rsid w:val="005376E1"/>
    <w:rsid w:val="00540EF4"/>
    <w:rsid w:val="00542E57"/>
    <w:rsid w:val="00543E6C"/>
    <w:rsid w:val="00544ECE"/>
    <w:rsid w:val="00545EAB"/>
    <w:rsid w:val="00546C2C"/>
    <w:rsid w:val="00546DC4"/>
    <w:rsid w:val="00546DCA"/>
    <w:rsid w:val="00547A4C"/>
    <w:rsid w:val="00555110"/>
    <w:rsid w:val="0055557C"/>
    <w:rsid w:val="00555F8C"/>
    <w:rsid w:val="00562911"/>
    <w:rsid w:val="00562A0C"/>
    <w:rsid w:val="00565087"/>
    <w:rsid w:val="005652C0"/>
    <w:rsid w:val="0056573F"/>
    <w:rsid w:val="00567CAE"/>
    <w:rsid w:val="005711AE"/>
    <w:rsid w:val="005776D7"/>
    <w:rsid w:val="00583485"/>
    <w:rsid w:val="00583C26"/>
    <w:rsid w:val="00583E34"/>
    <w:rsid w:val="0059000D"/>
    <w:rsid w:val="00590282"/>
    <w:rsid w:val="005916E6"/>
    <w:rsid w:val="005917F2"/>
    <w:rsid w:val="005929E7"/>
    <w:rsid w:val="00592A31"/>
    <w:rsid w:val="005935C6"/>
    <w:rsid w:val="00596830"/>
    <w:rsid w:val="00596CF8"/>
    <w:rsid w:val="005A16DC"/>
    <w:rsid w:val="005A1848"/>
    <w:rsid w:val="005A3663"/>
    <w:rsid w:val="005A3851"/>
    <w:rsid w:val="005A42D8"/>
    <w:rsid w:val="005A5048"/>
    <w:rsid w:val="005A504B"/>
    <w:rsid w:val="005A60AA"/>
    <w:rsid w:val="005A74CA"/>
    <w:rsid w:val="005B0554"/>
    <w:rsid w:val="005B0A7B"/>
    <w:rsid w:val="005B2EA4"/>
    <w:rsid w:val="005B3245"/>
    <w:rsid w:val="005B511C"/>
    <w:rsid w:val="005C036F"/>
    <w:rsid w:val="005C0FDB"/>
    <w:rsid w:val="005C1BF3"/>
    <w:rsid w:val="005C225C"/>
    <w:rsid w:val="005C2293"/>
    <w:rsid w:val="005C31FC"/>
    <w:rsid w:val="005D343C"/>
    <w:rsid w:val="005D4960"/>
    <w:rsid w:val="005D7E55"/>
    <w:rsid w:val="005E2BDD"/>
    <w:rsid w:val="005E2E15"/>
    <w:rsid w:val="005E36B0"/>
    <w:rsid w:val="005E5F83"/>
    <w:rsid w:val="005E6552"/>
    <w:rsid w:val="005E7638"/>
    <w:rsid w:val="005F4717"/>
    <w:rsid w:val="005F5C79"/>
    <w:rsid w:val="00600984"/>
    <w:rsid w:val="006028B1"/>
    <w:rsid w:val="00602ADE"/>
    <w:rsid w:val="00610F52"/>
    <w:rsid w:val="00611566"/>
    <w:rsid w:val="00613A76"/>
    <w:rsid w:val="00615A3F"/>
    <w:rsid w:val="00616A9C"/>
    <w:rsid w:val="00616DEF"/>
    <w:rsid w:val="00616F25"/>
    <w:rsid w:val="00616FFF"/>
    <w:rsid w:val="00620055"/>
    <w:rsid w:val="00622AB4"/>
    <w:rsid w:val="00625148"/>
    <w:rsid w:val="00625433"/>
    <w:rsid w:val="00633780"/>
    <w:rsid w:val="00633831"/>
    <w:rsid w:val="00637499"/>
    <w:rsid w:val="00637734"/>
    <w:rsid w:val="00640460"/>
    <w:rsid w:val="00641384"/>
    <w:rsid w:val="0064349F"/>
    <w:rsid w:val="00643F88"/>
    <w:rsid w:val="00646886"/>
    <w:rsid w:val="00646D99"/>
    <w:rsid w:val="006475B9"/>
    <w:rsid w:val="006516F9"/>
    <w:rsid w:val="00651940"/>
    <w:rsid w:val="00654974"/>
    <w:rsid w:val="006550E8"/>
    <w:rsid w:val="00656910"/>
    <w:rsid w:val="0066204B"/>
    <w:rsid w:val="006625F8"/>
    <w:rsid w:val="00662621"/>
    <w:rsid w:val="006646E7"/>
    <w:rsid w:val="00664B16"/>
    <w:rsid w:val="00665F61"/>
    <w:rsid w:val="0067360E"/>
    <w:rsid w:val="0067536C"/>
    <w:rsid w:val="00675721"/>
    <w:rsid w:val="00676EB2"/>
    <w:rsid w:val="0067704E"/>
    <w:rsid w:val="00677229"/>
    <w:rsid w:val="006776D1"/>
    <w:rsid w:val="006806B5"/>
    <w:rsid w:val="00680CA2"/>
    <w:rsid w:val="0068143A"/>
    <w:rsid w:val="00685BC9"/>
    <w:rsid w:val="00685F26"/>
    <w:rsid w:val="006869E6"/>
    <w:rsid w:val="00690C58"/>
    <w:rsid w:val="00697551"/>
    <w:rsid w:val="006A0B35"/>
    <w:rsid w:val="006A28E7"/>
    <w:rsid w:val="006A3914"/>
    <w:rsid w:val="006A3A1E"/>
    <w:rsid w:val="006A4F7F"/>
    <w:rsid w:val="006B11EE"/>
    <w:rsid w:val="006B19D5"/>
    <w:rsid w:val="006B19D6"/>
    <w:rsid w:val="006B3C7A"/>
    <w:rsid w:val="006B5E82"/>
    <w:rsid w:val="006B6C1A"/>
    <w:rsid w:val="006C060B"/>
    <w:rsid w:val="006C0AD2"/>
    <w:rsid w:val="006C115F"/>
    <w:rsid w:val="006C292F"/>
    <w:rsid w:val="006C2E90"/>
    <w:rsid w:val="006C2F98"/>
    <w:rsid w:val="006C48CB"/>
    <w:rsid w:val="006C56D6"/>
    <w:rsid w:val="006C66D8"/>
    <w:rsid w:val="006C7481"/>
    <w:rsid w:val="006D1E24"/>
    <w:rsid w:val="006D4014"/>
    <w:rsid w:val="006D4ABF"/>
    <w:rsid w:val="006D6055"/>
    <w:rsid w:val="006D7A6B"/>
    <w:rsid w:val="006E0C86"/>
    <w:rsid w:val="006E3A96"/>
    <w:rsid w:val="006E3B45"/>
    <w:rsid w:val="006E7304"/>
    <w:rsid w:val="006F09D5"/>
    <w:rsid w:val="006F3924"/>
    <w:rsid w:val="006F4D19"/>
    <w:rsid w:val="006F6A2C"/>
    <w:rsid w:val="00700336"/>
    <w:rsid w:val="00702306"/>
    <w:rsid w:val="007054E8"/>
    <w:rsid w:val="007064D2"/>
    <w:rsid w:val="00710479"/>
    <w:rsid w:val="00711C2D"/>
    <w:rsid w:val="007201A8"/>
    <w:rsid w:val="007202FD"/>
    <w:rsid w:val="00726ECF"/>
    <w:rsid w:val="00730DCC"/>
    <w:rsid w:val="00734599"/>
    <w:rsid w:val="00734A5B"/>
    <w:rsid w:val="007358E7"/>
    <w:rsid w:val="007372BA"/>
    <w:rsid w:val="007379F5"/>
    <w:rsid w:val="00741D53"/>
    <w:rsid w:val="00742493"/>
    <w:rsid w:val="00743256"/>
    <w:rsid w:val="007434CF"/>
    <w:rsid w:val="00744E76"/>
    <w:rsid w:val="00745266"/>
    <w:rsid w:val="00745BD6"/>
    <w:rsid w:val="00745DF4"/>
    <w:rsid w:val="00751942"/>
    <w:rsid w:val="00751E84"/>
    <w:rsid w:val="00751E9F"/>
    <w:rsid w:val="007546F4"/>
    <w:rsid w:val="00754703"/>
    <w:rsid w:val="00755597"/>
    <w:rsid w:val="00755CCE"/>
    <w:rsid w:val="00757D40"/>
    <w:rsid w:val="007619AF"/>
    <w:rsid w:val="00762C90"/>
    <w:rsid w:val="00762E74"/>
    <w:rsid w:val="00763A99"/>
    <w:rsid w:val="00771319"/>
    <w:rsid w:val="00771E5B"/>
    <w:rsid w:val="0077247E"/>
    <w:rsid w:val="00772D0D"/>
    <w:rsid w:val="00773A5C"/>
    <w:rsid w:val="00775398"/>
    <w:rsid w:val="00781F0F"/>
    <w:rsid w:val="00783CF8"/>
    <w:rsid w:val="00783D67"/>
    <w:rsid w:val="00784420"/>
    <w:rsid w:val="00784630"/>
    <w:rsid w:val="00785A41"/>
    <w:rsid w:val="0078727C"/>
    <w:rsid w:val="00794382"/>
    <w:rsid w:val="00794703"/>
    <w:rsid w:val="007A0D95"/>
    <w:rsid w:val="007A2E8D"/>
    <w:rsid w:val="007A3007"/>
    <w:rsid w:val="007A30E4"/>
    <w:rsid w:val="007A35F3"/>
    <w:rsid w:val="007A6DD5"/>
    <w:rsid w:val="007A7A31"/>
    <w:rsid w:val="007B0213"/>
    <w:rsid w:val="007B083C"/>
    <w:rsid w:val="007B18D8"/>
    <w:rsid w:val="007B5B70"/>
    <w:rsid w:val="007B5E5E"/>
    <w:rsid w:val="007C095F"/>
    <w:rsid w:val="007C20EA"/>
    <w:rsid w:val="007C367C"/>
    <w:rsid w:val="007D4B8E"/>
    <w:rsid w:val="007D5052"/>
    <w:rsid w:val="007D5ABF"/>
    <w:rsid w:val="007E0E7C"/>
    <w:rsid w:val="007E2C59"/>
    <w:rsid w:val="007E3F64"/>
    <w:rsid w:val="007E5ACF"/>
    <w:rsid w:val="007F0047"/>
    <w:rsid w:val="007F08A7"/>
    <w:rsid w:val="007F1977"/>
    <w:rsid w:val="007F20CF"/>
    <w:rsid w:val="007F3BC4"/>
    <w:rsid w:val="007F6471"/>
    <w:rsid w:val="007F71DF"/>
    <w:rsid w:val="00801BFD"/>
    <w:rsid w:val="008028A4"/>
    <w:rsid w:val="00803572"/>
    <w:rsid w:val="00803CAC"/>
    <w:rsid w:val="0080416D"/>
    <w:rsid w:val="00804D89"/>
    <w:rsid w:val="008068B6"/>
    <w:rsid w:val="00806CC4"/>
    <w:rsid w:val="00814B79"/>
    <w:rsid w:val="00816D4D"/>
    <w:rsid w:val="00823F2B"/>
    <w:rsid w:val="008253C4"/>
    <w:rsid w:val="00826144"/>
    <w:rsid w:val="008268CE"/>
    <w:rsid w:val="008314F0"/>
    <w:rsid w:val="00833BD5"/>
    <w:rsid w:val="00834AD1"/>
    <w:rsid w:val="008353F8"/>
    <w:rsid w:val="008356D7"/>
    <w:rsid w:val="00835C87"/>
    <w:rsid w:val="00837BE9"/>
    <w:rsid w:val="0084037D"/>
    <w:rsid w:val="00841E49"/>
    <w:rsid w:val="00842014"/>
    <w:rsid w:val="008429F0"/>
    <w:rsid w:val="00843BD9"/>
    <w:rsid w:val="008502AE"/>
    <w:rsid w:val="00852894"/>
    <w:rsid w:val="008531D2"/>
    <w:rsid w:val="00855460"/>
    <w:rsid w:val="00856C34"/>
    <w:rsid w:val="00857C11"/>
    <w:rsid w:val="00857C54"/>
    <w:rsid w:val="008610FC"/>
    <w:rsid w:val="00862780"/>
    <w:rsid w:val="008643F0"/>
    <w:rsid w:val="0086539A"/>
    <w:rsid w:val="00865E56"/>
    <w:rsid w:val="00865ECC"/>
    <w:rsid w:val="00865FF5"/>
    <w:rsid w:val="008663F0"/>
    <w:rsid w:val="0086716D"/>
    <w:rsid w:val="00867BC4"/>
    <w:rsid w:val="008717A7"/>
    <w:rsid w:val="008734DC"/>
    <w:rsid w:val="008737F7"/>
    <w:rsid w:val="0087443D"/>
    <w:rsid w:val="00876054"/>
    <w:rsid w:val="008768CA"/>
    <w:rsid w:val="00877F26"/>
    <w:rsid w:val="00880559"/>
    <w:rsid w:val="00880581"/>
    <w:rsid w:val="00881B80"/>
    <w:rsid w:val="00883564"/>
    <w:rsid w:val="008840FF"/>
    <w:rsid w:val="00884944"/>
    <w:rsid w:val="00884E63"/>
    <w:rsid w:val="00886976"/>
    <w:rsid w:val="00886B89"/>
    <w:rsid w:val="00886D88"/>
    <w:rsid w:val="00886E81"/>
    <w:rsid w:val="00891FF6"/>
    <w:rsid w:val="008930EB"/>
    <w:rsid w:val="00895E1E"/>
    <w:rsid w:val="00897816"/>
    <w:rsid w:val="008A1F7A"/>
    <w:rsid w:val="008A28E3"/>
    <w:rsid w:val="008A3F74"/>
    <w:rsid w:val="008A4B4F"/>
    <w:rsid w:val="008A6D26"/>
    <w:rsid w:val="008A7413"/>
    <w:rsid w:val="008B0648"/>
    <w:rsid w:val="008B2259"/>
    <w:rsid w:val="008B5129"/>
    <w:rsid w:val="008B59AA"/>
    <w:rsid w:val="008B76A7"/>
    <w:rsid w:val="008B7A6D"/>
    <w:rsid w:val="008C3221"/>
    <w:rsid w:val="008C3393"/>
    <w:rsid w:val="008C5574"/>
    <w:rsid w:val="008C6DD7"/>
    <w:rsid w:val="008D023E"/>
    <w:rsid w:val="008D4244"/>
    <w:rsid w:val="008D5017"/>
    <w:rsid w:val="008D5B3C"/>
    <w:rsid w:val="008D5DA7"/>
    <w:rsid w:val="008D7B95"/>
    <w:rsid w:val="008E4342"/>
    <w:rsid w:val="008E4501"/>
    <w:rsid w:val="008E4CD8"/>
    <w:rsid w:val="008E61D2"/>
    <w:rsid w:val="008E775F"/>
    <w:rsid w:val="008F2F50"/>
    <w:rsid w:val="008F32DB"/>
    <w:rsid w:val="008F3F8D"/>
    <w:rsid w:val="008F4A6B"/>
    <w:rsid w:val="008F535D"/>
    <w:rsid w:val="008F5C7B"/>
    <w:rsid w:val="009005E0"/>
    <w:rsid w:val="00900A72"/>
    <w:rsid w:val="0090187F"/>
    <w:rsid w:val="0090235E"/>
    <w:rsid w:val="0090271F"/>
    <w:rsid w:val="009064A4"/>
    <w:rsid w:val="009077EE"/>
    <w:rsid w:val="00911E6F"/>
    <w:rsid w:val="0091687F"/>
    <w:rsid w:val="00916B4F"/>
    <w:rsid w:val="009175D3"/>
    <w:rsid w:val="00917EDB"/>
    <w:rsid w:val="009214F0"/>
    <w:rsid w:val="0092185B"/>
    <w:rsid w:val="00921AE5"/>
    <w:rsid w:val="00921B9C"/>
    <w:rsid w:val="00921FEF"/>
    <w:rsid w:val="0092298B"/>
    <w:rsid w:val="00931061"/>
    <w:rsid w:val="009311B3"/>
    <w:rsid w:val="009331D8"/>
    <w:rsid w:val="00933DF8"/>
    <w:rsid w:val="00933E02"/>
    <w:rsid w:val="009368F7"/>
    <w:rsid w:val="00937E12"/>
    <w:rsid w:val="00940F61"/>
    <w:rsid w:val="00942B3C"/>
    <w:rsid w:val="00942EC2"/>
    <w:rsid w:val="009448D9"/>
    <w:rsid w:val="009511C9"/>
    <w:rsid w:val="00951CDB"/>
    <w:rsid w:val="00951E0B"/>
    <w:rsid w:val="00952266"/>
    <w:rsid w:val="009556D8"/>
    <w:rsid w:val="00955881"/>
    <w:rsid w:val="009565C4"/>
    <w:rsid w:val="00956DD7"/>
    <w:rsid w:val="00960467"/>
    <w:rsid w:val="009611F8"/>
    <w:rsid w:val="00961B32"/>
    <w:rsid w:val="0096422C"/>
    <w:rsid w:val="009664FF"/>
    <w:rsid w:val="0097376D"/>
    <w:rsid w:val="009749EB"/>
    <w:rsid w:val="00974BB0"/>
    <w:rsid w:val="00975051"/>
    <w:rsid w:val="00977040"/>
    <w:rsid w:val="009771D0"/>
    <w:rsid w:val="0097768B"/>
    <w:rsid w:val="009802BA"/>
    <w:rsid w:val="00980D60"/>
    <w:rsid w:val="00983994"/>
    <w:rsid w:val="00985967"/>
    <w:rsid w:val="00987003"/>
    <w:rsid w:val="009873A3"/>
    <w:rsid w:val="009905B5"/>
    <w:rsid w:val="00990BDE"/>
    <w:rsid w:val="009957D3"/>
    <w:rsid w:val="0099715B"/>
    <w:rsid w:val="00997F3F"/>
    <w:rsid w:val="009A1C6C"/>
    <w:rsid w:val="009A2593"/>
    <w:rsid w:val="009A28BB"/>
    <w:rsid w:val="009A4CA9"/>
    <w:rsid w:val="009B04B1"/>
    <w:rsid w:val="009B07CD"/>
    <w:rsid w:val="009B1E03"/>
    <w:rsid w:val="009B3D15"/>
    <w:rsid w:val="009B48EC"/>
    <w:rsid w:val="009B5C9C"/>
    <w:rsid w:val="009B602B"/>
    <w:rsid w:val="009C0CDF"/>
    <w:rsid w:val="009C0FC4"/>
    <w:rsid w:val="009C1CCA"/>
    <w:rsid w:val="009C229E"/>
    <w:rsid w:val="009C25BC"/>
    <w:rsid w:val="009C3AFC"/>
    <w:rsid w:val="009C6446"/>
    <w:rsid w:val="009C6FE1"/>
    <w:rsid w:val="009C7434"/>
    <w:rsid w:val="009D0471"/>
    <w:rsid w:val="009D1C85"/>
    <w:rsid w:val="009D2A14"/>
    <w:rsid w:val="009D3E41"/>
    <w:rsid w:val="009D547F"/>
    <w:rsid w:val="009E2550"/>
    <w:rsid w:val="009E3147"/>
    <w:rsid w:val="009E4150"/>
    <w:rsid w:val="009E4BB8"/>
    <w:rsid w:val="009E5263"/>
    <w:rsid w:val="009E564C"/>
    <w:rsid w:val="009E6120"/>
    <w:rsid w:val="009E7A4D"/>
    <w:rsid w:val="009F0751"/>
    <w:rsid w:val="009F0B2A"/>
    <w:rsid w:val="009F1CA2"/>
    <w:rsid w:val="009F2645"/>
    <w:rsid w:val="009F5447"/>
    <w:rsid w:val="009F62EC"/>
    <w:rsid w:val="009F6E12"/>
    <w:rsid w:val="00A01198"/>
    <w:rsid w:val="00A02E33"/>
    <w:rsid w:val="00A02EA2"/>
    <w:rsid w:val="00A0486E"/>
    <w:rsid w:val="00A059A4"/>
    <w:rsid w:val="00A06A73"/>
    <w:rsid w:val="00A10F02"/>
    <w:rsid w:val="00A122CF"/>
    <w:rsid w:val="00A1478A"/>
    <w:rsid w:val="00A14B2B"/>
    <w:rsid w:val="00A2217A"/>
    <w:rsid w:val="00A22AB1"/>
    <w:rsid w:val="00A26EDE"/>
    <w:rsid w:val="00A31DAD"/>
    <w:rsid w:val="00A325B1"/>
    <w:rsid w:val="00A32FED"/>
    <w:rsid w:val="00A34246"/>
    <w:rsid w:val="00A34699"/>
    <w:rsid w:val="00A35361"/>
    <w:rsid w:val="00A35D44"/>
    <w:rsid w:val="00A35FB4"/>
    <w:rsid w:val="00A36BCE"/>
    <w:rsid w:val="00A400FD"/>
    <w:rsid w:val="00A41AF6"/>
    <w:rsid w:val="00A44C13"/>
    <w:rsid w:val="00A45FE2"/>
    <w:rsid w:val="00A47851"/>
    <w:rsid w:val="00A53724"/>
    <w:rsid w:val="00A54AE0"/>
    <w:rsid w:val="00A558DF"/>
    <w:rsid w:val="00A56387"/>
    <w:rsid w:val="00A5684F"/>
    <w:rsid w:val="00A575A8"/>
    <w:rsid w:val="00A6158D"/>
    <w:rsid w:val="00A61A23"/>
    <w:rsid w:val="00A6254B"/>
    <w:rsid w:val="00A64375"/>
    <w:rsid w:val="00A64C65"/>
    <w:rsid w:val="00A6603C"/>
    <w:rsid w:val="00A70614"/>
    <w:rsid w:val="00A70BEF"/>
    <w:rsid w:val="00A7177C"/>
    <w:rsid w:val="00A73D42"/>
    <w:rsid w:val="00A749D5"/>
    <w:rsid w:val="00A759F8"/>
    <w:rsid w:val="00A7637D"/>
    <w:rsid w:val="00A76C91"/>
    <w:rsid w:val="00A80D61"/>
    <w:rsid w:val="00A82346"/>
    <w:rsid w:val="00A84BE4"/>
    <w:rsid w:val="00A9671C"/>
    <w:rsid w:val="00AA19A7"/>
    <w:rsid w:val="00AA1BC1"/>
    <w:rsid w:val="00AA22D1"/>
    <w:rsid w:val="00AA31D3"/>
    <w:rsid w:val="00AA48B1"/>
    <w:rsid w:val="00AA5A96"/>
    <w:rsid w:val="00AA5E39"/>
    <w:rsid w:val="00AA6C9A"/>
    <w:rsid w:val="00AA715B"/>
    <w:rsid w:val="00AB12B3"/>
    <w:rsid w:val="00AB1C69"/>
    <w:rsid w:val="00AB21D9"/>
    <w:rsid w:val="00AB4D6C"/>
    <w:rsid w:val="00AB5D9E"/>
    <w:rsid w:val="00AB7E8E"/>
    <w:rsid w:val="00AC1C66"/>
    <w:rsid w:val="00AC22FF"/>
    <w:rsid w:val="00AC34CB"/>
    <w:rsid w:val="00AC43E6"/>
    <w:rsid w:val="00AC4BFF"/>
    <w:rsid w:val="00AC61FA"/>
    <w:rsid w:val="00AD0ACD"/>
    <w:rsid w:val="00AD1B77"/>
    <w:rsid w:val="00AD7312"/>
    <w:rsid w:val="00AE040B"/>
    <w:rsid w:val="00AE1560"/>
    <w:rsid w:val="00AE3A11"/>
    <w:rsid w:val="00AE7595"/>
    <w:rsid w:val="00AF0C36"/>
    <w:rsid w:val="00AF3271"/>
    <w:rsid w:val="00AF3588"/>
    <w:rsid w:val="00AF474E"/>
    <w:rsid w:val="00AF5F0B"/>
    <w:rsid w:val="00AF6B94"/>
    <w:rsid w:val="00B00D9F"/>
    <w:rsid w:val="00B00FC1"/>
    <w:rsid w:val="00B02DCA"/>
    <w:rsid w:val="00B05FE9"/>
    <w:rsid w:val="00B05FF1"/>
    <w:rsid w:val="00B063CE"/>
    <w:rsid w:val="00B075FF"/>
    <w:rsid w:val="00B07A03"/>
    <w:rsid w:val="00B106C3"/>
    <w:rsid w:val="00B151BE"/>
    <w:rsid w:val="00B15449"/>
    <w:rsid w:val="00B1576F"/>
    <w:rsid w:val="00B1753C"/>
    <w:rsid w:val="00B210BD"/>
    <w:rsid w:val="00B21FDB"/>
    <w:rsid w:val="00B22A1E"/>
    <w:rsid w:val="00B25C4D"/>
    <w:rsid w:val="00B25EF7"/>
    <w:rsid w:val="00B35A7C"/>
    <w:rsid w:val="00B3671D"/>
    <w:rsid w:val="00B36A57"/>
    <w:rsid w:val="00B37D83"/>
    <w:rsid w:val="00B403B3"/>
    <w:rsid w:val="00B407B7"/>
    <w:rsid w:val="00B40FEB"/>
    <w:rsid w:val="00B419A4"/>
    <w:rsid w:val="00B41E66"/>
    <w:rsid w:val="00B421F2"/>
    <w:rsid w:val="00B43D72"/>
    <w:rsid w:val="00B45AD8"/>
    <w:rsid w:val="00B47333"/>
    <w:rsid w:val="00B47701"/>
    <w:rsid w:val="00B47FD1"/>
    <w:rsid w:val="00B52126"/>
    <w:rsid w:val="00B52237"/>
    <w:rsid w:val="00B537A5"/>
    <w:rsid w:val="00B55635"/>
    <w:rsid w:val="00B55E03"/>
    <w:rsid w:val="00B56C6F"/>
    <w:rsid w:val="00B60ED3"/>
    <w:rsid w:val="00B61F7F"/>
    <w:rsid w:val="00B62978"/>
    <w:rsid w:val="00B62C44"/>
    <w:rsid w:val="00B643EA"/>
    <w:rsid w:val="00B65110"/>
    <w:rsid w:val="00B66AE5"/>
    <w:rsid w:val="00B7177F"/>
    <w:rsid w:val="00B72004"/>
    <w:rsid w:val="00B725C8"/>
    <w:rsid w:val="00B729FF"/>
    <w:rsid w:val="00B72E1A"/>
    <w:rsid w:val="00B75553"/>
    <w:rsid w:val="00B7607B"/>
    <w:rsid w:val="00B7710D"/>
    <w:rsid w:val="00B81BE2"/>
    <w:rsid w:val="00B84530"/>
    <w:rsid w:val="00B84CDC"/>
    <w:rsid w:val="00B858DB"/>
    <w:rsid w:val="00B85923"/>
    <w:rsid w:val="00B8592F"/>
    <w:rsid w:val="00B87AB3"/>
    <w:rsid w:val="00B91069"/>
    <w:rsid w:val="00B91165"/>
    <w:rsid w:val="00B93022"/>
    <w:rsid w:val="00B958F1"/>
    <w:rsid w:val="00B9597D"/>
    <w:rsid w:val="00B96C86"/>
    <w:rsid w:val="00B973DB"/>
    <w:rsid w:val="00B97475"/>
    <w:rsid w:val="00BA0577"/>
    <w:rsid w:val="00BA16F5"/>
    <w:rsid w:val="00BA1DA0"/>
    <w:rsid w:val="00BA247D"/>
    <w:rsid w:val="00BA46F1"/>
    <w:rsid w:val="00BB10C1"/>
    <w:rsid w:val="00BB17FC"/>
    <w:rsid w:val="00BB2E05"/>
    <w:rsid w:val="00BB5074"/>
    <w:rsid w:val="00BB5AD8"/>
    <w:rsid w:val="00BB5FC6"/>
    <w:rsid w:val="00BC1213"/>
    <w:rsid w:val="00BC4D65"/>
    <w:rsid w:val="00BC7898"/>
    <w:rsid w:val="00BD0A57"/>
    <w:rsid w:val="00BD1A01"/>
    <w:rsid w:val="00BD34A2"/>
    <w:rsid w:val="00BE1D44"/>
    <w:rsid w:val="00BE2A33"/>
    <w:rsid w:val="00BE48C5"/>
    <w:rsid w:val="00BE5542"/>
    <w:rsid w:val="00BE749D"/>
    <w:rsid w:val="00BE77AF"/>
    <w:rsid w:val="00BF021E"/>
    <w:rsid w:val="00BF03E8"/>
    <w:rsid w:val="00BF4D83"/>
    <w:rsid w:val="00BF5EE2"/>
    <w:rsid w:val="00BF7487"/>
    <w:rsid w:val="00BF751D"/>
    <w:rsid w:val="00C007AA"/>
    <w:rsid w:val="00C0135B"/>
    <w:rsid w:val="00C013D6"/>
    <w:rsid w:val="00C04002"/>
    <w:rsid w:val="00C05A7F"/>
    <w:rsid w:val="00C10A23"/>
    <w:rsid w:val="00C10CB9"/>
    <w:rsid w:val="00C12B51"/>
    <w:rsid w:val="00C14D4B"/>
    <w:rsid w:val="00C16B7F"/>
    <w:rsid w:val="00C16CAB"/>
    <w:rsid w:val="00C21472"/>
    <w:rsid w:val="00C22B0D"/>
    <w:rsid w:val="00C23AD3"/>
    <w:rsid w:val="00C240C0"/>
    <w:rsid w:val="00C2422B"/>
    <w:rsid w:val="00C26442"/>
    <w:rsid w:val="00C267F7"/>
    <w:rsid w:val="00C27114"/>
    <w:rsid w:val="00C33045"/>
    <w:rsid w:val="00C33079"/>
    <w:rsid w:val="00C34B7D"/>
    <w:rsid w:val="00C3520B"/>
    <w:rsid w:val="00C37BA2"/>
    <w:rsid w:val="00C41963"/>
    <w:rsid w:val="00C44BDF"/>
    <w:rsid w:val="00C45827"/>
    <w:rsid w:val="00C47305"/>
    <w:rsid w:val="00C47BB8"/>
    <w:rsid w:val="00C50588"/>
    <w:rsid w:val="00C522DE"/>
    <w:rsid w:val="00C523F4"/>
    <w:rsid w:val="00C52871"/>
    <w:rsid w:val="00C5288C"/>
    <w:rsid w:val="00C545DC"/>
    <w:rsid w:val="00C55544"/>
    <w:rsid w:val="00C57DCA"/>
    <w:rsid w:val="00C60849"/>
    <w:rsid w:val="00C608C8"/>
    <w:rsid w:val="00C60F8F"/>
    <w:rsid w:val="00C6501A"/>
    <w:rsid w:val="00C6576C"/>
    <w:rsid w:val="00C659DA"/>
    <w:rsid w:val="00C66839"/>
    <w:rsid w:val="00C66905"/>
    <w:rsid w:val="00C67C94"/>
    <w:rsid w:val="00C70261"/>
    <w:rsid w:val="00C70E62"/>
    <w:rsid w:val="00C72D4F"/>
    <w:rsid w:val="00C737CC"/>
    <w:rsid w:val="00C73F35"/>
    <w:rsid w:val="00C7441E"/>
    <w:rsid w:val="00C75A28"/>
    <w:rsid w:val="00C768F0"/>
    <w:rsid w:val="00C77AEB"/>
    <w:rsid w:val="00C83A13"/>
    <w:rsid w:val="00C87FD8"/>
    <w:rsid w:val="00C905FB"/>
    <w:rsid w:val="00C91888"/>
    <w:rsid w:val="00C92312"/>
    <w:rsid w:val="00C9623E"/>
    <w:rsid w:val="00C96B5F"/>
    <w:rsid w:val="00CA37C3"/>
    <w:rsid w:val="00CA3D0C"/>
    <w:rsid w:val="00CA7F1B"/>
    <w:rsid w:val="00CB4A6E"/>
    <w:rsid w:val="00CB4E38"/>
    <w:rsid w:val="00CB4F30"/>
    <w:rsid w:val="00CB4FB2"/>
    <w:rsid w:val="00CB60D2"/>
    <w:rsid w:val="00CB620A"/>
    <w:rsid w:val="00CB69BA"/>
    <w:rsid w:val="00CB7E17"/>
    <w:rsid w:val="00CC126A"/>
    <w:rsid w:val="00CC1E29"/>
    <w:rsid w:val="00CC2235"/>
    <w:rsid w:val="00CC2AB1"/>
    <w:rsid w:val="00CC559E"/>
    <w:rsid w:val="00CC627B"/>
    <w:rsid w:val="00CD0236"/>
    <w:rsid w:val="00CD4C7B"/>
    <w:rsid w:val="00CD5B6D"/>
    <w:rsid w:val="00CD7510"/>
    <w:rsid w:val="00CE0A31"/>
    <w:rsid w:val="00CE1DFE"/>
    <w:rsid w:val="00CE2626"/>
    <w:rsid w:val="00CE4AA6"/>
    <w:rsid w:val="00CE58A8"/>
    <w:rsid w:val="00CE60C3"/>
    <w:rsid w:val="00CF14BD"/>
    <w:rsid w:val="00CF18E5"/>
    <w:rsid w:val="00CF1E09"/>
    <w:rsid w:val="00D0150E"/>
    <w:rsid w:val="00D03023"/>
    <w:rsid w:val="00D06BB5"/>
    <w:rsid w:val="00D07535"/>
    <w:rsid w:val="00D141A8"/>
    <w:rsid w:val="00D14A8D"/>
    <w:rsid w:val="00D1682A"/>
    <w:rsid w:val="00D203BA"/>
    <w:rsid w:val="00D20564"/>
    <w:rsid w:val="00D21307"/>
    <w:rsid w:val="00D2244E"/>
    <w:rsid w:val="00D26759"/>
    <w:rsid w:val="00D26DAD"/>
    <w:rsid w:val="00D27953"/>
    <w:rsid w:val="00D3003E"/>
    <w:rsid w:val="00D30C3E"/>
    <w:rsid w:val="00D310A3"/>
    <w:rsid w:val="00D31757"/>
    <w:rsid w:val="00D31964"/>
    <w:rsid w:val="00D3212F"/>
    <w:rsid w:val="00D338A9"/>
    <w:rsid w:val="00D33ECE"/>
    <w:rsid w:val="00D3495F"/>
    <w:rsid w:val="00D365B9"/>
    <w:rsid w:val="00D4064C"/>
    <w:rsid w:val="00D429B7"/>
    <w:rsid w:val="00D42CA3"/>
    <w:rsid w:val="00D42F63"/>
    <w:rsid w:val="00D42F6C"/>
    <w:rsid w:val="00D45297"/>
    <w:rsid w:val="00D476A6"/>
    <w:rsid w:val="00D47ED8"/>
    <w:rsid w:val="00D50815"/>
    <w:rsid w:val="00D52D09"/>
    <w:rsid w:val="00D5329B"/>
    <w:rsid w:val="00D60AD2"/>
    <w:rsid w:val="00D62CC8"/>
    <w:rsid w:val="00D62D76"/>
    <w:rsid w:val="00D63D3A"/>
    <w:rsid w:val="00D64DA0"/>
    <w:rsid w:val="00D70829"/>
    <w:rsid w:val="00D70CC2"/>
    <w:rsid w:val="00D738D6"/>
    <w:rsid w:val="00D80795"/>
    <w:rsid w:val="00D80C99"/>
    <w:rsid w:val="00D82043"/>
    <w:rsid w:val="00D82380"/>
    <w:rsid w:val="00D831B3"/>
    <w:rsid w:val="00D83270"/>
    <w:rsid w:val="00D853EB"/>
    <w:rsid w:val="00D87E00"/>
    <w:rsid w:val="00D9134D"/>
    <w:rsid w:val="00D93803"/>
    <w:rsid w:val="00D93B9E"/>
    <w:rsid w:val="00D94F1C"/>
    <w:rsid w:val="00D94F9F"/>
    <w:rsid w:val="00D95CF9"/>
    <w:rsid w:val="00D96D11"/>
    <w:rsid w:val="00D97702"/>
    <w:rsid w:val="00DA0D80"/>
    <w:rsid w:val="00DA0EAE"/>
    <w:rsid w:val="00DA16AB"/>
    <w:rsid w:val="00DA2ADB"/>
    <w:rsid w:val="00DA3EDB"/>
    <w:rsid w:val="00DA5893"/>
    <w:rsid w:val="00DA64D6"/>
    <w:rsid w:val="00DA7A03"/>
    <w:rsid w:val="00DB04EA"/>
    <w:rsid w:val="00DB1818"/>
    <w:rsid w:val="00DB23EE"/>
    <w:rsid w:val="00DB5C8B"/>
    <w:rsid w:val="00DB75D2"/>
    <w:rsid w:val="00DC1D94"/>
    <w:rsid w:val="00DC309B"/>
    <w:rsid w:val="00DC313D"/>
    <w:rsid w:val="00DC4DA2"/>
    <w:rsid w:val="00DC63E2"/>
    <w:rsid w:val="00DD57E8"/>
    <w:rsid w:val="00DD650B"/>
    <w:rsid w:val="00DE2A09"/>
    <w:rsid w:val="00DE2D84"/>
    <w:rsid w:val="00DF3144"/>
    <w:rsid w:val="00DF416E"/>
    <w:rsid w:val="00DF59E1"/>
    <w:rsid w:val="00DF739E"/>
    <w:rsid w:val="00DF7413"/>
    <w:rsid w:val="00E001D3"/>
    <w:rsid w:val="00E03893"/>
    <w:rsid w:val="00E06A11"/>
    <w:rsid w:val="00E06BC7"/>
    <w:rsid w:val="00E11870"/>
    <w:rsid w:val="00E1486D"/>
    <w:rsid w:val="00E1575F"/>
    <w:rsid w:val="00E16739"/>
    <w:rsid w:val="00E169FC"/>
    <w:rsid w:val="00E175E1"/>
    <w:rsid w:val="00E17B8D"/>
    <w:rsid w:val="00E222AB"/>
    <w:rsid w:val="00E222E6"/>
    <w:rsid w:val="00E223B2"/>
    <w:rsid w:val="00E245FD"/>
    <w:rsid w:val="00E27484"/>
    <w:rsid w:val="00E275A4"/>
    <w:rsid w:val="00E3044D"/>
    <w:rsid w:val="00E32AE2"/>
    <w:rsid w:val="00E33458"/>
    <w:rsid w:val="00E347B0"/>
    <w:rsid w:val="00E4003A"/>
    <w:rsid w:val="00E4045F"/>
    <w:rsid w:val="00E4221B"/>
    <w:rsid w:val="00E43A7B"/>
    <w:rsid w:val="00E43D21"/>
    <w:rsid w:val="00E44EE9"/>
    <w:rsid w:val="00E50EF6"/>
    <w:rsid w:val="00E5230E"/>
    <w:rsid w:val="00E53962"/>
    <w:rsid w:val="00E53A90"/>
    <w:rsid w:val="00E5474E"/>
    <w:rsid w:val="00E552F3"/>
    <w:rsid w:val="00E56154"/>
    <w:rsid w:val="00E57458"/>
    <w:rsid w:val="00E6140C"/>
    <w:rsid w:val="00E621DD"/>
    <w:rsid w:val="00E622D3"/>
    <w:rsid w:val="00E62835"/>
    <w:rsid w:val="00E6294B"/>
    <w:rsid w:val="00E63184"/>
    <w:rsid w:val="00E63E81"/>
    <w:rsid w:val="00E67834"/>
    <w:rsid w:val="00E7222E"/>
    <w:rsid w:val="00E72AF7"/>
    <w:rsid w:val="00E73347"/>
    <w:rsid w:val="00E74369"/>
    <w:rsid w:val="00E743E5"/>
    <w:rsid w:val="00E7504C"/>
    <w:rsid w:val="00E75566"/>
    <w:rsid w:val="00E77645"/>
    <w:rsid w:val="00E779F0"/>
    <w:rsid w:val="00E77E70"/>
    <w:rsid w:val="00E80362"/>
    <w:rsid w:val="00E80B82"/>
    <w:rsid w:val="00E811ED"/>
    <w:rsid w:val="00E82B1D"/>
    <w:rsid w:val="00E83036"/>
    <w:rsid w:val="00E830D4"/>
    <w:rsid w:val="00E85882"/>
    <w:rsid w:val="00E873D7"/>
    <w:rsid w:val="00E915F0"/>
    <w:rsid w:val="00E92666"/>
    <w:rsid w:val="00E92AC9"/>
    <w:rsid w:val="00E92D7E"/>
    <w:rsid w:val="00E93DCB"/>
    <w:rsid w:val="00E9454B"/>
    <w:rsid w:val="00EA05AE"/>
    <w:rsid w:val="00EA07EA"/>
    <w:rsid w:val="00EA1098"/>
    <w:rsid w:val="00EA399D"/>
    <w:rsid w:val="00EA3B90"/>
    <w:rsid w:val="00EA50F9"/>
    <w:rsid w:val="00EA7E4B"/>
    <w:rsid w:val="00EB2948"/>
    <w:rsid w:val="00EB5A64"/>
    <w:rsid w:val="00EC21CB"/>
    <w:rsid w:val="00EC4A25"/>
    <w:rsid w:val="00EC5EB6"/>
    <w:rsid w:val="00ED0BF1"/>
    <w:rsid w:val="00ED2291"/>
    <w:rsid w:val="00ED5488"/>
    <w:rsid w:val="00EE0F99"/>
    <w:rsid w:val="00EE4C68"/>
    <w:rsid w:val="00EE4D8F"/>
    <w:rsid w:val="00EE61A4"/>
    <w:rsid w:val="00EF3DB8"/>
    <w:rsid w:val="00EF6B50"/>
    <w:rsid w:val="00EF6E36"/>
    <w:rsid w:val="00F00FB2"/>
    <w:rsid w:val="00F01491"/>
    <w:rsid w:val="00F025A2"/>
    <w:rsid w:val="00F03C45"/>
    <w:rsid w:val="00F07388"/>
    <w:rsid w:val="00F078C8"/>
    <w:rsid w:val="00F110DD"/>
    <w:rsid w:val="00F114AC"/>
    <w:rsid w:val="00F139BA"/>
    <w:rsid w:val="00F15C41"/>
    <w:rsid w:val="00F168B8"/>
    <w:rsid w:val="00F2026E"/>
    <w:rsid w:val="00F2210A"/>
    <w:rsid w:val="00F2541C"/>
    <w:rsid w:val="00F25B97"/>
    <w:rsid w:val="00F2657B"/>
    <w:rsid w:val="00F26824"/>
    <w:rsid w:val="00F3265E"/>
    <w:rsid w:val="00F326E6"/>
    <w:rsid w:val="00F33057"/>
    <w:rsid w:val="00F35E4F"/>
    <w:rsid w:val="00F360F1"/>
    <w:rsid w:val="00F36371"/>
    <w:rsid w:val="00F37743"/>
    <w:rsid w:val="00F378A0"/>
    <w:rsid w:val="00F40C4F"/>
    <w:rsid w:val="00F4188A"/>
    <w:rsid w:val="00F419F4"/>
    <w:rsid w:val="00F437DA"/>
    <w:rsid w:val="00F52592"/>
    <w:rsid w:val="00F52659"/>
    <w:rsid w:val="00F53DC0"/>
    <w:rsid w:val="00F54A3D"/>
    <w:rsid w:val="00F56F19"/>
    <w:rsid w:val="00F57674"/>
    <w:rsid w:val="00F57A8E"/>
    <w:rsid w:val="00F61B3C"/>
    <w:rsid w:val="00F62492"/>
    <w:rsid w:val="00F62658"/>
    <w:rsid w:val="00F63702"/>
    <w:rsid w:val="00F653B8"/>
    <w:rsid w:val="00F6613D"/>
    <w:rsid w:val="00F71442"/>
    <w:rsid w:val="00F743A2"/>
    <w:rsid w:val="00F746ED"/>
    <w:rsid w:val="00F750A5"/>
    <w:rsid w:val="00F75A5C"/>
    <w:rsid w:val="00F76F8F"/>
    <w:rsid w:val="00F81833"/>
    <w:rsid w:val="00F826F8"/>
    <w:rsid w:val="00F82E70"/>
    <w:rsid w:val="00F83E7E"/>
    <w:rsid w:val="00F86180"/>
    <w:rsid w:val="00F86227"/>
    <w:rsid w:val="00F909AE"/>
    <w:rsid w:val="00F90DC8"/>
    <w:rsid w:val="00F915EF"/>
    <w:rsid w:val="00F93E00"/>
    <w:rsid w:val="00F9469B"/>
    <w:rsid w:val="00F94BEB"/>
    <w:rsid w:val="00F9595C"/>
    <w:rsid w:val="00F95998"/>
    <w:rsid w:val="00F95D88"/>
    <w:rsid w:val="00F9789D"/>
    <w:rsid w:val="00FA0792"/>
    <w:rsid w:val="00FA10BE"/>
    <w:rsid w:val="00FA1266"/>
    <w:rsid w:val="00FA1AA8"/>
    <w:rsid w:val="00FA3571"/>
    <w:rsid w:val="00FA4136"/>
    <w:rsid w:val="00FA5190"/>
    <w:rsid w:val="00FA77EC"/>
    <w:rsid w:val="00FA7EDB"/>
    <w:rsid w:val="00FB0161"/>
    <w:rsid w:val="00FB32A5"/>
    <w:rsid w:val="00FB5B7B"/>
    <w:rsid w:val="00FB66B2"/>
    <w:rsid w:val="00FB7208"/>
    <w:rsid w:val="00FB7D5A"/>
    <w:rsid w:val="00FC1192"/>
    <w:rsid w:val="00FC562B"/>
    <w:rsid w:val="00FC6203"/>
    <w:rsid w:val="00FC6218"/>
    <w:rsid w:val="00FC6C6F"/>
    <w:rsid w:val="00FD00C4"/>
    <w:rsid w:val="00FD03D1"/>
    <w:rsid w:val="00FD1732"/>
    <w:rsid w:val="00FD3D21"/>
    <w:rsid w:val="00FD4976"/>
    <w:rsid w:val="00FD4B91"/>
    <w:rsid w:val="00FD57EC"/>
    <w:rsid w:val="00FD5DB4"/>
    <w:rsid w:val="00FE2651"/>
    <w:rsid w:val="00FE3818"/>
    <w:rsid w:val="00FE6913"/>
    <w:rsid w:val="00FE7540"/>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F2E56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35"/>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Revision">
    <w:name w:val="Revision"/>
    <w:hidden/>
    <w:uiPriority w:val="99"/>
    <w:semiHidden/>
    <w:rsid w:val="005A366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9282">
      <w:bodyDiv w:val="1"/>
      <w:marLeft w:val="0"/>
      <w:marRight w:val="0"/>
      <w:marTop w:val="0"/>
      <w:marBottom w:val="0"/>
      <w:divBdr>
        <w:top w:val="none" w:sz="0" w:space="0" w:color="auto"/>
        <w:left w:val="none" w:sz="0" w:space="0" w:color="auto"/>
        <w:bottom w:val="none" w:sz="0" w:space="0" w:color="auto"/>
        <w:right w:val="none" w:sz="0" w:space="0" w:color="auto"/>
      </w:divBdr>
    </w:div>
    <w:div w:id="40785143">
      <w:bodyDiv w:val="1"/>
      <w:marLeft w:val="0"/>
      <w:marRight w:val="0"/>
      <w:marTop w:val="0"/>
      <w:marBottom w:val="0"/>
      <w:divBdr>
        <w:top w:val="none" w:sz="0" w:space="0" w:color="auto"/>
        <w:left w:val="none" w:sz="0" w:space="0" w:color="auto"/>
        <w:bottom w:val="none" w:sz="0" w:space="0" w:color="auto"/>
        <w:right w:val="none" w:sz="0" w:space="0" w:color="auto"/>
      </w:divBdr>
      <w:divsChild>
        <w:div w:id="892617406">
          <w:marLeft w:val="1080"/>
          <w:marRight w:val="0"/>
          <w:marTop w:val="100"/>
          <w:marBottom w:val="0"/>
          <w:divBdr>
            <w:top w:val="none" w:sz="0" w:space="0" w:color="auto"/>
            <w:left w:val="none" w:sz="0" w:space="0" w:color="auto"/>
            <w:bottom w:val="none" w:sz="0" w:space="0" w:color="auto"/>
            <w:right w:val="none" w:sz="0" w:space="0" w:color="auto"/>
          </w:divBdr>
        </w:div>
      </w:divsChild>
    </w:div>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80297781">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369375783">
      <w:bodyDiv w:val="1"/>
      <w:marLeft w:val="0"/>
      <w:marRight w:val="0"/>
      <w:marTop w:val="0"/>
      <w:marBottom w:val="0"/>
      <w:divBdr>
        <w:top w:val="none" w:sz="0" w:space="0" w:color="auto"/>
        <w:left w:val="none" w:sz="0" w:space="0" w:color="auto"/>
        <w:bottom w:val="none" w:sz="0" w:space="0" w:color="auto"/>
        <w:right w:val="none" w:sz="0" w:space="0" w:color="auto"/>
      </w:divBdr>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760177562">
      <w:bodyDiv w:val="1"/>
      <w:marLeft w:val="0"/>
      <w:marRight w:val="0"/>
      <w:marTop w:val="0"/>
      <w:marBottom w:val="0"/>
      <w:divBdr>
        <w:top w:val="none" w:sz="0" w:space="0" w:color="auto"/>
        <w:left w:val="none" w:sz="0" w:space="0" w:color="auto"/>
        <w:bottom w:val="none" w:sz="0" w:space="0" w:color="auto"/>
        <w:right w:val="none" w:sz="0" w:space="0" w:color="auto"/>
      </w:divBdr>
      <w:divsChild>
        <w:div w:id="1072235271">
          <w:marLeft w:val="360"/>
          <w:marRight w:val="0"/>
          <w:marTop w:val="200"/>
          <w:marBottom w:val="0"/>
          <w:divBdr>
            <w:top w:val="none" w:sz="0" w:space="0" w:color="auto"/>
            <w:left w:val="none" w:sz="0" w:space="0" w:color="auto"/>
            <w:bottom w:val="none" w:sz="0" w:space="0" w:color="auto"/>
            <w:right w:val="none" w:sz="0" w:space="0" w:color="auto"/>
          </w:divBdr>
        </w:div>
        <w:div w:id="808202999">
          <w:marLeft w:val="360"/>
          <w:marRight w:val="0"/>
          <w:marTop w:val="200"/>
          <w:marBottom w:val="0"/>
          <w:divBdr>
            <w:top w:val="none" w:sz="0" w:space="0" w:color="auto"/>
            <w:left w:val="none" w:sz="0" w:space="0" w:color="auto"/>
            <w:bottom w:val="none" w:sz="0" w:space="0" w:color="auto"/>
            <w:right w:val="none" w:sz="0" w:space="0" w:color="auto"/>
          </w:divBdr>
        </w:div>
        <w:div w:id="1164734742">
          <w:marLeft w:val="360"/>
          <w:marRight w:val="0"/>
          <w:marTop w:val="200"/>
          <w:marBottom w:val="0"/>
          <w:divBdr>
            <w:top w:val="none" w:sz="0" w:space="0" w:color="auto"/>
            <w:left w:val="none" w:sz="0" w:space="0" w:color="auto"/>
            <w:bottom w:val="none" w:sz="0" w:space="0" w:color="auto"/>
            <w:right w:val="none" w:sz="0" w:space="0" w:color="auto"/>
          </w:divBdr>
        </w:div>
        <w:div w:id="2047558725">
          <w:marLeft w:val="1080"/>
          <w:marRight w:val="0"/>
          <w:marTop w:val="100"/>
          <w:marBottom w:val="0"/>
          <w:divBdr>
            <w:top w:val="none" w:sz="0" w:space="0" w:color="auto"/>
            <w:left w:val="none" w:sz="0" w:space="0" w:color="auto"/>
            <w:bottom w:val="none" w:sz="0" w:space="0" w:color="auto"/>
            <w:right w:val="none" w:sz="0" w:space="0" w:color="auto"/>
          </w:divBdr>
        </w:div>
      </w:divsChild>
    </w:div>
    <w:div w:id="793911557">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20225365">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531869172">
      <w:bodyDiv w:val="1"/>
      <w:marLeft w:val="0"/>
      <w:marRight w:val="0"/>
      <w:marTop w:val="0"/>
      <w:marBottom w:val="0"/>
      <w:divBdr>
        <w:top w:val="none" w:sz="0" w:space="0" w:color="auto"/>
        <w:left w:val="none" w:sz="0" w:space="0" w:color="auto"/>
        <w:bottom w:val="none" w:sz="0" w:space="0" w:color="auto"/>
        <w:right w:val="none" w:sz="0" w:space="0" w:color="auto"/>
      </w:divBdr>
      <w:divsChild>
        <w:div w:id="359211700">
          <w:marLeft w:val="360"/>
          <w:marRight w:val="0"/>
          <w:marTop w:val="200"/>
          <w:marBottom w:val="0"/>
          <w:divBdr>
            <w:top w:val="none" w:sz="0" w:space="0" w:color="auto"/>
            <w:left w:val="none" w:sz="0" w:space="0" w:color="auto"/>
            <w:bottom w:val="none" w:sz="0" w:space="0" w:color="auto"/>
            <w:right w:val="none" w:sz="0" w:space="0" w:color="auto"/>
          </w:divBdr>
        </w:div>
        <w:div w:id="472020556">
          <w:marLeft w:val="1080"/>
          <w:marRight w:val="0"/>
          <w:marTop w:val="100"/>
          <w:marBottom w:val="0"/>
          <w:divBdr>
            <w:top w:val="none" w:sz="0" w:space="0" w:color="auto"/>
            <w:left w:val="none" w:sz="0" w:space="0" w:color="auto"/>
            <w:bottom w:val="none" w:sz="0" w:space="0" w:color="auto"/>
            <w:right w:val="none" w:sz="0" w:space="0" w:color="auto"/>
          </w:divBdr>
        </w:div>
        <w:div w:id="446969964">
          <w:marLeft w:val="1080"/>
          <w:marRight w:val="0"/>
          <w:marTop w:val="100"/>
          <w:marBottom w:val="0"/>
          <w:divBdr>
            <w:top w:val="none" w:sz="0" w:space="0" w:color="auto"/>
            <w:left w:val="none" w:sz="0" w:space="0" w:color="auto"/>
            <w:bottom w:val="none" w:sz="0" w:space="0" w:color="auto"/>
            <w:right w:val="none" w:sz="0" w:space="0" w:color="auto"/>
          </w:divBdr>
        </w:div>
        <w:div w:id="135101868">
          <w:marLeft w:val="1080"/>
          <w:marRight w:val="0"/>
          <w:marTop w:val="100"/>
          <w:marBottom w:val="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689480167">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58805945">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 w:id="213844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87C0-57CA-49CB-8910-67C035603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4</Pages>
  <Words>1148</Words>
  <Characters>6548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7681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Saynajakangas, Tuomo (Nokia - FI/Oulu)</dc:creator>
  <cp:keywords>Nokia;3GPP, RAN2</cp:keywords>
  <cp:lastModifiedBy>Jussi Kuusisto</cp:lastModifiedBy>
  <cp:revision>3</cp:revision>
  <dcterms:created xsi:type="dcterms:W3CDTF">2017-09-11T21:50:00Z</dcterms:created>
  <dcterms:modified xsi:type="dcterms:W3CDTF">2017-09-11T21:50:00Z</dcterms:modified>
</cp:coreProperties>
</file>